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375" w:afterAutospacing="0"/>
        <w:ind w:left="0" w:right="0" w:firstLine="0"/>
        <w:jc w:val="center"/>
        <w:rPr>
          <w:rFonts w:hint="eastAsia" w:ascii="微软雅黑" w:hAnsi="微软雅黑" w:eastAsia="微软雅黑" w:cs="微软雅黑"/>
          <w:i w:val="0"/>
          <w:iCs w:val="0"/>
          <w:caps w:val="0"/>
          <w:color w:val="444444"/>
          <w:spacing w:val="0"/>
          <w:sz w:val="24"/>
          <w:szCs w:val="24"/>
        </w:rPr>
      </w:pPr>
      <w:bookmarkStart w:id="0" w:name="_GoBack"/>
      <w:r>
        <w:rPr>
          <w:rFonts w:hint="eastAsia" w:ascii="宋体" w:hAnsi="宋体" w:eastAsia="宋体" w:cs="宋体"/>
          <w:b w:val="0"/>
          <w:bCs w:val="0"/>
          <w:i w:val="0"/>
          <w:iCs w:val="0"/>
          <w:caps w:val="0"/>
          <w:color w:val="444444"/>
          <w:spacing w:val="0"/>
          <w:kern w:val="0"/>
          <w:sz w:val="36"/>
          <w:szCs w:val="36"/>
          <w:shd w:val="clear" w:fill="FFFFFF"/>
          <w:lang w:val="en-US" w:eastAsia="zh-CN" w:bidi="ar"/>
        </w:rPr>
        <w:t>关于《杨浦区关于促进总部经济发展的若干政策规定》的解读</w:t>
      </w:r>
    </w:p>
    <w:bookmarkEnd w:id="0"/>
    <w:p>
      <w:pPr>
        <w:keepNext w:val="0"/>
        <w:keepLines w:val="0"/>
        <w:widowControl/>
        <w:suppressLineNumbers w:val="0"/>
        <w:shd w:val="clear" w:fill="FFFFFF"/>
        <w:spacing w:before="0" w:beforeAutospacing="0" w:after="375" w:afterAutospacing="0"/>
        <w:ind w:left="0" w:right="0" w:firstLine="0"/>
        <w:jc w:val="center"/>
        <w:rPr>
          <w:rFonts w:hint="eastAsia" w:ascii="微软雅黑" w:hAnsi="微软雅黑" w:eastAsia="微软雅黑" w:cs="微软雅黑"/>
          <w:i w:val="0"/>
          <w:iCs w:val="0"/>
          <w:caps w:val="0"/>
          <w:color w:val="444444"/>
          <w:spacing w:val="0"/>
          <w:sz w:val="24"/>
          <w:szCs w:val="24"/>
        </w:rPr>
      </w:pPr>
      <w:r>
        <w:rPr>
          <w:rFonts w:ascii="楷体" w:hAnsi="楷体" w:eastAsia="楷体" w:cs="楷体"/>
          <w:i w:val="0"/>
          <w:iCs w:val="0"/>
          <w:caps w:val="0"/>
          <w:color w:val="444444"/>
          <w:spacing w:val="0"/>
          <w:kern w:val="0"/>
          <w:sz w:val="24"/>
          <w:szCs w:val="24"/>
          <w:shd w:val="clear" w:fill="FFFFFF"/>
          <w:lang w:val="en-US" w:eastAsia="zh-CN" w:bidi="ar"/>
        </w:rPr>
        <w:t>（</w:t>
      </w:r>
      <w:r>
        <w:rPr>
          <w:rFonts w:hint="eastAsia" w:ascii="楷体" w:hAnsi="楷体" w:eastAsia="楷体" w:cs="楷体"/>
          <w:i w:val="0"/>
          <w:iCs w:val="0"/>
          <w:caps w:val="0"/>
          <w:color w:val="444444"/>
          <w:spacing w:val="0"/>
          <w:kern w:val="0"/>
          <w:sz w:val="24"/>
          <w:szCs w:val="24"/>
          <w:shd w:val="clear" w:fill="FFFFFF"/>
          <w:lang w:val="en-US" w:eastAsia="zh-CN" w:bidi="ar"/>
        </w:rPr>
        <w:t>2017年11月20日）</w:t>
      </w:r>
    </w:p>
    <w:p>
      <w:pPr>
        <w:keepNext w:val="0"/>
        <w:keepLines w:val="0"/>
        <w:widowControl/>
        <w:suppressLineNumbers w:val="0"/>
        <w:shd w:val="clear" w:fill="FFFFFF"/>
        <w:spacing w:before="0" w:beforeAutospacing="0" w:after="375" w:afterAutospacing="0"/>
        <w:ind w:left="0" w:right="0" w:firstLine="0"/>
        <w:jc w:val="center"/>
        <w:rPr>
          <w:rFonts w:hint="eastAsia" w:ascii="微软雅黑" w:hAnsi="微软雅黑" w:eastAsia="微软雅黑" w:cs="微软雅黑"/>
          <w:i w:val="0"/>
          <w:iCs w:val="0"/>
          <w:caps w:val="0"/>
          <w:color w:val="444444"/>
          <w:spacing w:val="0"/>
          <w:sz w:val="24"/>
          <w:szCs w:val="24"/>
        </w:rPr>
      </w:pPr>
      <w:r>
        <w:rPr>
          <w:rFonts w:hint="eastAsia" w:ascii="微软雅黑" w:hAnsi="微软雅黑" w:eastAsia="微软雅黑" w:cs="微软雅黑"/>
          <w:i w:val="0"/>
          <w:iCs w:val="0"/>
          <w:caps w:val="0"/>
          <w:color w:val="444444"/>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ascii="仿宋_GB2312" w:hAnsi="微软雅黑" w:eastAsia="仿宋_GB2312" w:cs="仿宋_GB2312"/>
          <w:i w:val="0"/>
          <w:iCs w:val="0"/>
          <w:caps w:val="0"/>
          <w:color w:val="444444"/>
          <w:spacing w:val="0"/>
          <w:kern w:val="0"/>
          <w:sz w:val="32"/>
          <w:szCs w:val="32"/>
          <w:shd w:val="clear" w:fill="FFFFFF"/>
          <w:lang w:val="en-US" w:eastAsia="zh-CN" w:bidi="ar"/>
        </w:rPr>
        <w:t>2017</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年11月10日，杨浦区人民政府发布了《批转区发改委制订的〈杨浦区关于促进总部经济发展的若干政策规定〉的通知》（杨府规</w:t>
      </w:r>
      <w:r>
        <w:rPr>
          <w:rFonts w:hint="default" w:ascii="仿宋_GB2312" w:hAnsi="微软雅黑" w:eastAsia="仿宋_GB2312" w:cs="仿宋_GB2312"/>
          <w:i w:val="0"/>
          <w:iCs w:val="0"/>
          <w:caps w:val="0"/>
          <w:color w:val="444444"/>
          <w:spacing w:val="17"/>
          <w:kern w:val="0"/>
          <w:sz w:val="32"/>
          <w:szCs w:val="32"/>
          <w:shd w:val="clear" w:fill="FFFFFF"/>
          <w:lang w:val="en-US" w:eastAsia="zh-CN" w:bidi="ar"/>
        </w:rPr>
        <w:t>〔</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2017</w:t>
      </w:r>
      <w:r>
        <w:rPr>
          <w:rFonts w:hint="default" w:ascii="仿宋_GB2312" w:hAnsi="微软雅黑" w:eastAsia="仿宋_GB2312" w:cs="仿宋_GB2312"/>
          <w:i w:val="0"/>
          <w:iCs w:val="0"/>
          <w:caps w:val="0"/>
          <w:color w:val="444444"/>
          <w:spacing w:val="17"/>
          <w:kern w:val="0"/>
          <w:sz w:val="32"/>
          <w:szCs w:val="32"/>
          <w:shd w:val="clear" w:fill="FFFFFF"/>
          <w:lang w:val="en-US" w:eastAsia="zh-CN" w:bidi="ar"/>
        </w:rPr>
        <w:t>〕</w:t>
      </w: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2号）。现就该文件的有关内容解读如下：</w:t>
      </w:r>
    </w:p>
    <w:p>
      <w:pPr>
        <w:keepNext w:val="0"/>
        <w:keepLines w:val="0"/>
        <w:widowControl/>
        <w:suppressLineNumbers w:val="0"/>
        <w:shd w:val="clear" w:fill="FFFFFF"/>
        <w:spacing w:before="0" w:beforeAutospacing="0" w:after="375" w:afterAutospacing="0" w:line="600" w:lineRule="atLeast"/>
        <w:ind w:left="0" w:right="0" w:firstLine="600"/>
        <w:jc w:val="left"/>
        <w:rPr>
          <w:rFonts w:hint="eastAsia" w:ascii="微软雅黑" w:hAnsi="微软雅黑" w:eastAsia="微软雅黑" w:cs="微软雅黑"/>
          <w:i w:val="0"/>
          <w:iCs w:val="0"/>
          <w:caps w:val="0"/>
          <w:color w:val="444444"/>
          <w:spacing w:val="0"/>
          <w:sz w:val="24"/>
          <w:szCs w:val="24"/>
        </w:rPr>
      </w:pPr>
      <w:r>
        <w:rPr>
          <w:rFonts w:ascii="黑体" w:hAnsi="宋体" w:eastAsia="黑体" w:cs="黑体"/>
          <w:i w:val="0"/>
          <w:iCs w:val="0"/>
          <w:caps w:val="0"/>
          <w:color w:val="444444"/>
          <w:spacing w:val="0"/>
          <w:kern w:val="0"/>
          <w:sz w:val="30"/>
          <w:szCs w:val="30"/>
          <w:shd w:val="clear" w:fill="FFFFFF"/>
          <w:lang w:val="en-US" w:eastAsia="zh-CN" w:bidi="ar"/>
        </w:rPr>
        <w:t>一、修订的主要背景</w:t>
      </w:r>
    </w:p>
    <w:p>
      <w:pPr>
        <w:keepNext w:val="0"/>
        <w:keepLines w:val="0"/>
        <w:widowControl/>
        <w:suppressLineNumbers w:val="0"/>
        <w:shd w:val="clear" w:fill="FFFFFF"/>
        <w:spacing w:before="0" w:beforeAutospacing="0" w:after="375" w:afterAutospacing="0" w:line="600" w:lineRule="atLeast"/>
        <w:ind w:left="0" w:right="0" w:firstLine="64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2012年杨浦区发布了《杨浦区关于促进总部经济发展的若干政策规定（试行）》（杨府办发〔2012〕31号）。政策施行以来共有2家企业被认定为杨浦区总部经济企业，经市商务委认定各类外资总部6家，研发中心5家。为扩大对外开放，发挥总部经济在提升区域经济发展能级，促进产业结构优化升级中的核心作用，同时贯彻落实好《国务院关于扩大对外开放积极利用外资若干措施的通知》、《上海市鼓励外资研发中心发展的若干意见》、《上海市鼓励跨国公司设立地区总部的规定》等文件对促进总部经济发展提出的新要求，结合杨浦推动“三区一基地”建设的新形势，现对我区促进总部经济政策进行了完善和修订，经2017年9月1日区政府第20次常务会议审议通过后，区政府发布了《杨浦区关于促进总部发展的若干政策规定》（杨府规[2017]2号）。</w:t>
      </w:r>
    </w:p>
    <w:p>
      <w:pPr>
        <w:keepNext w:val="0"/>
        <w:keepLines w:val="0"/>
        <w:widowControl/>
        <w:suppressLineNumbers w:val="0"/>
        <w:shd w:val="clear" w:fill="FFFFFF"/>
        <w:spacing w:before="0" w:beforeAutospacing="0" w:after="375" w:afterAutospacing="0" w:line="600" w:lineRule="atLeast"/>
        <w:ind w:left="0" w:right="0" w:firstLine="600"/>
        <w:jc w:val="left"/>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kern w:val="0"/>
          <w:sz w:val="30"/>
          <w:szCs w:val="30"/>
          <w:shd w:val="clear" w:fill="FFFFFF"/>
          <w:lang w:val="en-US" w:eastAsia="zh-CN" w:bidi="ar"/>
        </w:rPr>
        <w:t>二、修订的主要依据</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1、《国务院关于扩大对外开放积极利用外资若干措施的通知》（国发〔2017〕5号）</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2、《上海市人民政府关于印发修订后的&lt;上海市鼓励跨国公司设立地区总部的规定&gt;的通知》（沪府发〔2017〕9号）</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3、上海市人民政府办公厅关于印发《上海市鼓励外资研发中心发展的若干意见的通知》（沪府办发〔2015〕42号）</w:t>
      </w:r>
    </w:p>
    <w:p>
      <w:pPr>
        <w:keepNext w:val="0"/>
        <w:keepLines w:val="0"/>
        <w:widowControl/>
        <w:suppressLineNumbers w:val="0"/>
        <w:shd w:val="clear" w:fill="FFFFFF"/>
        <w:spacing w:before="0" w:beforeAutospacing="0" w:after="375" w:afterAutospacing="0" w:line="600" w:lineRule="atLeast"/>
        <w:ind w:left="0" w:right="0" w:firstLine="600"/>
        <w:jc w:val="left"/>
        <w:rPr>
          <w:rFonts w:hint="eastAsia" w:ascii="微软雅黑" w:hAnsi="微软雅黑" w:eastAsia="微软雅黑" w:cs="微软雅黑"/>
          <w:i w:val="0"/>
          <w:iCs w:val="0"/>
          <w:caps w:val="0"/>
          <w:color w:val="444444"/>
          <w:spacing w:val="0"/>
          <w:sz w:val="24"/>
          <w:szCs w:val="24"/>
        </w:rPr>
      </w:pPr>
      <w:r>
        <w:rPr>
          <w:rFonts w:hint="eastAsia" w:ascii="黑体" w:hAnsi="宋体" w:eastAsia="黑体" w:cs="黑体"/>
          <w:i w:val="0"/>
          <w:iCs w:val="0"/>
          <w:caps w:val="0"/>
          <w:color w:val="444444"/>
          <w:spacing w:val="0"/>
          <w:kern w:val="0"/>
          <w:sz w:val="30"/>
          <w:szCs w:val="30"/>
          <w:shd w:val="clear" w:fill="FFFFFF"/>
          <w:lang w:val="en-US" w:eastAsia="zh-CN" w:bidi="ar"/>
        </w:rPr>
        <w:t>三、修订的主要方向和内容</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ascii="楷体_GB2312" w:hAnsi="微软雅黑" w:eastAsia="楷体_GB2312" w:cs="楷体_GB2312"/>
          <w:i w:val="0"/>
          <w:iCs w:val="0"/>
          <w:caps w:val="0"/>
          <w:color w:val="444444"/>
          <w:spacing w:val="0"/>
          <w:kern w:val="0"/>
          <w:sz w:val="32"/>
          <w:szCs w:val="32"/>
          <w:shd w:val="clear" w:fill="FFFFFF"/>
          <w:lang w:val="en-US" w:eastAsia="zh-CN" w:bidi="ar"/>
        </w:rPr>
        <w:t>（一）修改的主要方向</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1、将总部企业认定标准根据功能和规模大小划分为地区总部、总部型机构、研发中心三类。调整后的政策更加注重总部企业在发挥产业引领和集聚作用方面的功能。</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2、针对不同类型的总部制定差别化的支持政策，包括开办费、办公用房、经营性奖励、人才奖励、能级提升奖励、专项资金支持、投资及科技研发成果转化奖励以及人才政策支持等。</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3、完善强化总部企业培育制度，建立总部目标企业培育库，对具有发展潜力、成长性好，拟引进注册在杨浦的总部企业明确相应认定流程。</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楷体_GB2312" w:hAnsi="微软雅黑" w:eastAsia="楷体_GB2312" w:cs="楷体_GB2312"/>
          <w:i w:val="0"/>
          <w:iCs w:val="0"/>
          <w:caps w:val="0"/>
          <w:color w:val="444444"/>
          <w:spacing w:val="0"/>
          <w:kern w:val="0"/>
          <w:sz w:val="32"/>
          <w:szCs w:val="32"/>
          <w:shd w:val="clear" w:fill="FFFFFF"/>
          <w:lang w:val="en-US" w:eastAsia="zh-CN" w:bidi="ar"/>
        </w:rPr>
        <w:t>（二）修改的相关内容</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1、延续政策方面。地区总部相关政策如开办费、办公用房资助、经营性奖励、高管人才激励等方面延续了原有政策。</w:t>
      </w:r>
    </w:p>
    <w:p>
      <w:pPr>
        <w:keepNext w:val="0"/>
        <w:keepLines w:val="0"/>
        <w:widowControl/>
        <w:suppressLineNumbers w:val="0"/>
        <w:shd w:val="clear" w:fill="FFFFFF"/>
        <w:spacing w:before="0" w:beforeAutospacing="0" w:after="375" w:afterAutospacing="0" w:line="600" w:lineRule="atLeast"/>
        <w:ind w:left="0" w:right="0" w:firstLine="480"/>
        <w:jc w:val="left"/>
        <w:rPr>
          <w:rFonts w:hint="eastAsia" w:ascii="微软雅黑" w:hAnsi="微软雅黑" w:eastAsia="微软雅黑" w:cs="微软雅黑"/>
          <w:i w:val="0"/>
          <w:iCs w:val="0"/>
          <w:caps w:val="0"/>
          <w:color w:val="444444"/>
          <w:spacing w:val="0"/>
          <w:sz w:val="24"/>
          <w:szCs w:val="24"/>
        </w:rPr>
      </w:pPr>
      <w:r>
        <w:rPr>
          <w:rFonts w:hint="default" w:ascii="仿宋_GB2312" w:hAnsi="微软雅黑" w:eastAsia="仿宋_GB2312" w:cs="仿宋_GB2312"/>
          <w:i w:val="0"/>
          <w:iCs w:val="0"/>
          <w:caps w:val="0"/>
          <w:color w:val="444444"/>
          <w:spacing w:val="0"/>
          <w:kern w:val="0"/>
          <w:sz w:val="32"/>
          <w:szCs w:val="32"/>
          <w:shd w:val="clear" w:fill="FFFFFF"/>
          <w:lang w:val="en-US" w:eastAsia="zh-CN" w:bidi="ar"/>
        </w:rPr>
        <w:t>2、落实市相关政策方面。新增加了能级提升奖励和科技成果转化奖励等。能级提升奖励为由国家商务部、市商务委认定的总部企业能级提升的，按照市商务委有关政策给予配套支持。科技成果转化奖励为对在本区转化的科技成果转化项目，根据其对区域经济贡献程度及项目知识产权的属性、创新程度，对其高新技术成果转化项目的研发投入予以10%的补贴，最高不超过500万元。</w:t>
      </w:r>
    </w:p>
    <w:p>
      <w:r>
        <w:rPr>
          <w:rFonts w:hint="default" w:ascii="仿宋_GB2312" w:hAnsi="宋体" w:eastAsia="仿宋_GB2312" w:cs="仿宋_GB2312"/>
          <w:i w:val="0"/>
          <w:iCs w:val="0"/>
          <w:caps w:val="0"/>
          <w:color w:val="444444"/>
          <w:spacing w:val="0"/>
          <w:sz w:val="32"/>
          <w:szCs w:val="32"/>
          <w:shd w:val="clear" w:fill="FFFFFF"/>
        </w:rPr>
        <w:t>  3、新增政策方面。为适应杨浦国际化发展需要，打造三区一基地，新提出了针对总部型机构、研发中心的政策设计，给予开办费、办公用房资助、经营性奖励、人才激励等。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03378"/>
    <w:rsid w:val="2CE0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1145</Words>
  <Characters>1189</Characters>
  <Lines>0</Lines>
  <Paragraphs>0</Paragraphs>
  <TotalTime>0</TotalTime>
  <ScaleCrop>false</ScaleCrop>
  <LinksUpToDate>false</LinksUpToDate>
  <CharactersWithSpaces>1192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2022-04-14T09:47:00Z</dcterms:created>
  <dc:creator>admin</dc:creator>
  <cp:lastModifiedBy>admin</cp:lastModifiedBy>
  <dcterms:modified xsi:type="dcterms:W3CDTF">2022-04-14T09:47:56Z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14483037B0544595AA70946B224DD6F6</vt:lpwstr>
  </property>
</Properties>
</file>