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B8" w:rsidRDefault="006A4027" w:rsidP="006A40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杨浦区财政局2024年生态环境保护职责</w:t>
      </w:r>
    </w:p>
    <w:p w:rsidR="0097345F" w:rsidRDefault="006A4027" w:rsidP="000114B8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履行情况的报告</w:t>
      </w:r>
    </w:p>
    <w:p w:rsidR="0097345F" w:rsidRPr="006A4027" w:rsidRDefault="0097345F" w:rsidP="006A40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37C4" w:rsidRPr="006A4027" w:rsidRDefault="003D37C4" w:rsidP="006A402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区委、区政府：</w:t>
      </w:r>
    </w:p>
    <w:p w:rsidR="0097345F" w:rsidRPr="006A4027" w:rsidRDefault="00467C83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97345F" w:rsidRPr="006A4027">
        <w:rPr>
          <w:rFonts w:ascii="仿宋_GB2312" w:eastAsia="仿宋_GB2312" w:hAnsi="仿宋_GB2312" w:cs="仿宋_GB2312" w:hint="eastAsia"/>
          <w:sz w:val="32"/>
          <w:szCs w:val="32"/>
        </w:rPr>
        <w:t>《上海市推动职能部门做好生态环境保护工作的实施意见》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A4027">
        <w:rPr>
          <w:rFonts w:ascii="仿宋_GB2312" w:eastAsia="仿宋_GB2312" w:hAnsi="仿宋_GB2312" w:cs="仿宋_GB2312"/>
          <w:sz w:val="32"/>
          <w:szCs w:val="32"/>
        </w:rPr>
        <w:t>沪环督〔2024〕123号）要求</w:t>
      </w:r>
      <w:r w:rsidR="0097345F" w:rsidRPr="006A4027">
        <w:rPr>
          <w:rFonts w:ascii="仿宋_GB2312" w:eastAsia="仿宋_GB2312" w:hAnsi="仿宋_GB2312" w:cs="仿宋_GB2312" w:hint="eastAsia"/>
          <w:sz w:val="32"/>
          <w:szCs w:val="32"/>
        </w:rPr>
        <w:t>，区财政局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对照区委、区政府印发的《杨浦区生态环境保护工作责任规定（试行）》（杨委办发</w:t>
      </w:r>
      <w:r w:rsidRPr="006A4027">
        <w:rPr>
          <w:rFonts w:ascii="仿宋_GB2312" w:eastAsia="仿宋_GB2312" w:hAnsi="仿宋_GB2312" w:cs="仿宋_GB2312"/>
          <w:sz w:val="32"/>
          <w:szCs w:val="32"/>
        </w:rPr>
        <w:t>〔20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Pr="006A4027">
        <w:rPr>
          <w:rFonts w:ascii="仿宋_GB2312" w:eastAsia="仿宋_GB2312" w:hAnsi="仿宋_GB2312" w:cs="仿宋_GB2312"/>
          <w:sz w:val="32"/>
          <w:szCs w:val="32"/>
        </w:rPr>
        <w:t>〕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75</w:t>
      </w:r>
      <w:r w:rsidRPr="006A4027">
        <w:rPr>
          <w:rFonts w:ascii="仿宋_GB2312" w:eastAsia="仿宋_GB2312" w:hAnsi="仿宋_GB2312" w:cs="仿宋_GB2312"/>
          <w:sz w:val="32"/>
          <w:szCs w:val="32"/>
        </w:rPr>
        <w:t>号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97345F" w:rsidRPr="006A4027">
        <w:rPr>
          <w:rFonts w:ascii="仿宋_GB2312" w:eastAsia="仿宋_GB2312" w:hAnsi="仿宋_GB2312" w:cs="仿宋_GB2312" w:hint="eastAsia"/>
          <w:sz w:val="32"/>
          <w:szCs w:val="32"/>
        </w:rPr>
        <w:t>始终将生态环境保护作为重要职责，积极筹措资金，加强资金监管，为全区生态环境保护工作提供有力保障。现将我局2024年度生态环境保护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97345F" w:rsidRPr="006A4027">
        <w:rPr>
          <w:rFonts w:ascii="仿宋_GB2312" w:eastAsia="仿宋_GB2312" w:hAnsi="仿宋_GB2312" w:cs="仿宋_GB2312" w:hint="eastAsia"/>
          <w:sz w:val="32"/>
          <w:szCs w:val="32"/>
        </w:rPr>
        <w:t>履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职</w:t>
      </w:r>
      <w:r w:rsidR="0097345F" w:rsidRPr="006A4027">
        <w:rPr>
          <w:rFonts w:ascii="仿宋_GB2312" w:eastAsia="仿宋_GB2312" w:hAnsi="仿宋_GB2312" w:cs="仿宋_GB2312" w:hint="eastAsia"/>
          <w:sz w:val="32"/>
          <w:szCs w:val="32"/>
        </w:rPr>
        <w:t>情况报告如下：</w:t>
      </w:r>
    </w:p>
    <w:p w:rsidR="00467C83" w:rsidRPr="006A4027" w:rsidRDefault="006A4027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、保持</w:t>
      </w:r>
      <w:r w:rsidR="0064031C" w:rsidRPr="006A4027">
        <w:rPr>
          <w:rFonts w:ascii="仿宋_GB2312" w:eastAsia="仿宋_GB2312" w:hAnsi="仿宋_GB2312" w:cs="仿宋_GB2312" w:hint="eastAsia"/>
          <w:sz w:val="32"/>
          <w:szCs w:val="32"/>
        </w:rPr>
        <w:t>稳定的</w:t>
      </w:r>
      <w:r w:rsidR="00467C83" w:rsidRPr="006A4027">
        <w:rPr>
          <w:rFonts w:ascii="仿宋_GB2312" w:eastAsia="仿宋_GB2312" w:hAnsi="仿宋_GB2312" w:cs="仿宋_GB2312"/>
          <w:sz w:val="32"/>
          <w:szCs w:val="32"/>
        </w:rPr>
        <w:t>资金投入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力度</w:t>
      </w:r>
    </w:p>
    <w:p w:rsidR="00623F63" w:rsidRDefault="00343B25" w:rsidP="004B419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年杨浦区生态环境投入合计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119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6A4027">
        <w:rPr>
          <w:rFonts w:ascii="仿宋_GB2312" w:eastAsia="仿宋_GB2312" w:hAnsi="仿宋_GB2312" w:cs="仿宋_GB2312" w:hint="eastAsia"/>
          <w:sz w:val="32"/>
          <w:szCs w:val="32"/>
        </w:rPr>
        <w:t>542.84万元，同比增加25.00%。</w:t>
      </w:r>
    </w:p>
    <w:p w:rsidR="00594E42" w:rsidRDefault="00623F63" w:rsidP="00623F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投入涵盖多领域，一是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城市环境基础设施建设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，主要用于园林绿化、河道整治工程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环卫作业经费等；二是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环保设施运转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，主要用于污水处理项目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各类污染源污染治理设施等；三是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污染源防治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，主要用于各类污染源治理、新能源汽车推广更新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等方面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；四是其他各类生态环境保护涉及项目</w:t>
      </w:r>
      <w:r w:rsidR="00343B25" w:rsidRPr="006A402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23F63" w:rsidRPr="006A4027" w:rsidRDefault="00623F63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坚持政策引导强化</w:t>
      </w:r>
      <w:r w:rsidR="00E83CA0">
        <w:rPr>
          <w:rFonts w:ascii="仿宋_GB2312" w:eastAsia="仿宋_GB2312" w:hAnsi="仿宋_GB2312" w:cs="仿宋_GB2312" w:hint="eastAsia"/>
          <w:sz w:val="32"/>
          <w:szCs w:val="32"/>
        </w:rPr>
        <w:t>企业扶持</w:t>
      </w:r>
    </w:p>
    <w:p w:rsidR="00343B25" w:rsidRPr="006A4027" w:rsidRDefault="004B419C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</w:t>
      </w:r>
      <w:r w:rsidR="00E83CA0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040727" w:rsidRPr="006A4027">
        <w:rPr>
          <w:rFonts w:ascii="仿宋_GB2312" w:eastAsia="仿宋_GB2312" w:hAnsi="仿宋_GB2312" w:cs="仿宋_GB2312" w:hint="eastAsia"/>
          <w:sz w:val="32"/>
          <w:szCs w:val="32"/>
        </w:rPr>
        <w:t>发改委制定《杨浦区光伏发展扶持办法》，</w:t>
      </w:r>
      <w:r w:rsidRPr="004B419C">
        <w:rPr>
          <w:rFonts w:ascii="仿宋_GB2312" w:eastAsia="仿宋_GB2312" w:hAnsi="仿宋_GB2312" w:cs="仿宋_GB2312" w:hint="eastAsia"/>
          <w:sz w:val="32"/>
          <w:szCs w:val="32"/>
        </w:rPr>
        <w:t>对在本区实施的有利于降低本区能源消费量、提高能源利用效率</w:t>
      </w:r>
      <w:r w:rsidRPr="004B419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的光伏装机容量不低于20千瓦的光伏发电项目、光伏建筑一体化项目、“光伏一体化”示范点项目的社会投资者给予奖励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，从而</w:t>
      </w:r>
      <w:r w:rsidRPr="004B419C">
        <w:rPr>
          <w:rFonts w:ascii="仿宋_GB2312" w:eastAsia="仿宋_GB2312" w:hAnsi="仿宋_GB2312" w:cs="仿宋_GB2312"/>
          <w:sz w:val="32"/>
          <w:szCs w:val="32"/>
        </w:rPr>
        <w:t>推动我区光伏建设持续健康发展，</w:t>
      </w:r>
      <w:r w:rsidR="00040727" w:rsidRPr="006A4027">
        <w:rPr>
          <w:rFonts w:ascii="仿宋_GB2312" w:eastAsia="仿宋_GB2312" w:hAnsi="仿宋_GB2312" w:cs="仿宋_GB2312" w:hint="eastAsia"/>
          <w:sz w:val="32"/>
          <w:szCs w:val="32"/>
        </w:rPr>
        <w:t>推进节能减排和能源结构优化。</w:t>
      </w:r>
      <w:r w:rsidRPr="004B419C">
        <w:rPr>
          <w:rFonts w:ascii="仿宋_GB2312" w:eastAsia="仿宋_GB2312" w:hAnsi="仿宋_GB2312" w:cs="仿宋_GB2312"/>
          <w:sz w:val="32"/>
          <w:szCs w:val="32"/>
        </w:rPr>
        <w:t>2024年支持项目7个，奖励380万元</w:t>
      </w:r>
      <w:r w:rsidRPr="004B419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67C83" w:rsidRPr="006A4027" w:rsidRDefault="00623F63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0114B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67C83" w:rsidRPr="006A4027">
        <w:rPr>
          <w:rFonts w:ascii="仿宋_GB2312" w:eastAsia="仿宋_GB2312" w:hAnsi="仿宋_GB2312" w:cs="仿宋_GB2312"/>
          <w:sz w:val="32"/>
          <w:szCs w:val="32"/>
        </w:rPr>
        <w:t>推进落实政府绿色采购制度</w:t>
      </w:r>
    </w:p>
    <w:p w:rsidR="00467C83" w:rsidRPr="006A4027" w:rsidRDefault="00594E42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本区政府采购持续践行绿色采购理念，发挥政府采购政策功能。根据财政部、国家发改委《关于印发节能产品政府采购品目清单的通知》（财库〔2019〕19号）和财政部、生态环境部《关于印发环境标志产品政府采购品目清单的通知》（财库〔2019〕18号）等要求，对节能产品和环保产品实施强制采购或优先采购。在项目采购的招标文件中，明确要求本采购项目执行政府强制采购节能产品清单，在采购需求中明确节能节水产品的技术规格、能效等级等要求。支持本区新能源汽车推广使用。2024年，节能节水产品采购金额占相关同类产品采购规模的96.36%，环保产品采购金额占相关同类产品采购规模的88.41%。</w:t>
      </w:r>
    </w:p>
    <w:p w:rsidR="00594E42" w:rsidRPr="006A4027" w:rsidRDefault="00594E42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37C4" w:rsidRPr="006A4027" w:rsidRDefault="003D37C4" w:rsidP="006A402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37C4" w:rsidRPr="006A4027" w:rsidRDefault="003D37C4" w:rsidP="006A4027">
      <w:pPr>
        <w:spacing w:line="600" w:lineRule="exact"/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杨浦区财政局</w:t>
      </w:r>
    </w:p>
    <w:p w:rsidR="003D37C4" w:rsidRPr="006A4027" w:rsidRDefault="003D37C4" w:rsidP="006A4027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A4027">
        <w:rPr>
          <w:rFonts w:ascii="仿宋_GB2312" w:eastAsia="仿宋_GB2312" w:hAnsi="仿宋_GB2312" w:cs="仿宋_GB2312" w:hint="eastAsia"/>
          <w:sz w:val="32"/>
          <w:szCs w:val="32"/>
        </w:rPr>
        <w:t>2025年2月20日</w:t>
      </w:r>
    </w:p>
    <w:sectPr w:rsidR="003D37C4" w:rsidRPr="006A4027" w:rsidSect="0054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88" w:rsidRDefault="004F2988" w:rsidP="00467C83">
      <w:r>
        <w:separator/>
      </w:r>
    </w:p>
  </w:endnote>
  <w:endnote w:type="continuationSeparator" w:id="1">
    <w:p w:rsidR="004F2988" w:rsidRDefault="004F2988" w:rsidP="0046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88" w:rsidRDefault="004F2988" w:rsidP="00467C83">
      <w:r>
        <w:separator/>
      </w:r>
    </w:p>
  </w:footnote>
  <w:footnote w:type="continuationSeparator" w:id="1">
    <w:p w:rsidR="004F2988" w:rsidRDefault="004F2988" w:rsidP="00467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52C"/>
    <w:multiLevelType w:val="hybridMultilevel"/>
    <w:tmpl w:val="3B48C608"/>
    <w:lvl w:ilvl="0" w:tplc="9940CB3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9B12CA"/>
    <w:multiLevelType w:val="hybridMultilevel"/>
    <w:tmpl w:val="99107D44"/>
    <w:lvl w:ilvl="0" w:tplc="09E88674">
      <w:start w:val="1"/>
      <w:numFmt w:val="japaneseCounting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E765B3"/>
    <w:multiLevelType w:val="hybridMultilevel"/>
    <w:tmpl w:val="E2185D2A"/>
    <w:lvl w:ilvl="0" w:tplc="57721E62">
      <w:start w:val="1"/>
      <w:numFmt w:val="japaneseCounting"/>
      <w:lvlText w:val="%1、"/>
      <w:lvlJc w:val="left"/>
      <w:pPr>
        <w:ind w:left="840" w:hanging="420"/>
      </w:pPr>
      <w:rPr>
        <w:rFonts w:ascii="宋体" w:eastAsia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45F"/>
    <w:rsid w:val="000114B8"/>
    <w:rsid w:val="00040727"/>
    <w:rsid w:val="00101054"/>
    <w:rsid w:val="001D5A8C"/>
    <w:rsid w:val="00217F26"/>
    <w:rsid w:val="0026132E"/>
    <w:rsid w:val="00343B25"/>
    <w:rsid w:val="003D37C4"/>
    <w:rsid w:val="00467C83"/>
    <w:rsid w:val="00490E9D"/>
    <w:rsid w:val="004B419C"/>
    <w:rsid w:val="004F2988"/>
    <w:rsid w:val="005475F6"/>
    <w:rsid w:val="00594E42"/>
    <w:rsid w:val="005A5E40"/>
    <w:rsid w:val="00623F63"/>
    <w:rsid w:val="0064031C"/>
    <w:rsid w:val="006A4027"/>
    <w:rsid w:val="007220DB"/>
    <w:rsid w:val="007C749E"/>
    <w:rsid w:val="007F781D"/>
    <w:rsid w:val="00846739"/>
    <w:rsid w:val="009609C6"/>
    <w:rsid w:val="0097345F"/>
    <w:rsid w:val="009B79E5"/>
    <w:rsid w:val="00A20B96"/>
    <w:rsid w:val="00A73A5A"/>
    <w:rsid w:val="00C231F8"/>
    <w:rsid w:val="00D1557B"/>
    <w:rsid w:val="00DD1C83"/>
    <w:rsid w:val="00DD6FA6"/>
    <w:rsid w:val="00E8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07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C83"/>
    <w:rPr>
      <w:sz w:val="18"/>
      <w:szCs w:val="18"/>
    </w:rPr>
  </w:style>
  <w:style w:type="paragraph" w:styleId="a5">
    <w:name w:val="List Paragraph"/>
    <w:basedOn w:val="a"/>
    <w:uiPriority w:val="34"/>
    <w:qFormat/>
    <w:rsid w:val="00467C8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4072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2025-02-24T03:18:00Z</cp:lastPrinted>
  <dcterms:created xsi:type="dcterms:W3CDTF">2025-02-21T03:13:00Z</dcterms:created>
  <dcterms:modified xsi:type="dcterms:W3CDTF">2025-02-24T03:19:00Z</dcterms:modified>
</cp:coreProperties>
</file>