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CE" w:rsidRDefault="00456FCE" w:rsidP="00456FCE">
      <w:pPr>
        <w:jc w:val="left"/>
        <w:rPr>
          <w:rFonts w:ascii="华文中宋" w:eastAsia="华文中宋" w:hAnsi="华文中宋"/>
          <w:b/>
          <w:sz w:val="36"/>
          <w:szCs w:val="36"/>
        </w:rPr>
      </w:pPr>
      <w:r>
        <w:rPr>
          <w:rFonts w:ascii="华文中宋" w:eastAsia="华文中宋" w:hAnsi="华文中宋" w:hint="eastAsia"/>
          <w:b/>
          <w:sz w:val="36"/>
          <w:szCs w:val="36"/>
        </w:rPr>
        <w:t>附：</w:t>
      </w:r>
    </w:p>
    <w:p w:rsidR="00CF3A18" w:rsidRPr="00722F6A" w:rsidRDefault="00CF3A18" w:rsidP="00CF3A18">
      <w:pPr>
        <w:jc w:val="center"/>
        <w:rPr>
          <w:rFonts w:ascii="宋体" w:eastAsia="宋体" w:hAnsi="宋体"/>
          <w:b/>
          <w:sz w:val="36"/>
          <w:szCs w:val="36"/>
        </w:rPr>
      </w:pPr>
      <w:r w:rsidRPr="00722F6A">
        <w:rPr>
          <w:rFonts w:ascii="宋体" w:eastAsia="宋体" w:hAnsi="宋体" w:hint="eastAsia"/>
          <w:b/>
          <w:sz w:val="36"/>
          <w:szCs w:val="36"/>
        </w:rPr>
        <w:t>杨浦区推进落实新的组合式税费支持政策</w:t>
      </w:r>
    </w:p>
    <w:p w:rsidR="00AF2147" w:rsidRDefault="00CF3A18" w:rsidP="00CF3A18">
      <w:pPr>
        <w:jc w:val="center"/>
        <w:rPr>
          <w:rFonts w:ascii="华文中宋" w:eastAsia="华文中宋" w:hAnsi="华文中宋"/>
          <w:b/>
          <w:sz w:val="36"/>
          <w:szCs w:val="36"/>
        </w:rPr>
      </w:pPr>
      <w:r w:rsidRPr="00722F6A">
        <w:rPr>
          <w:rFonts w:ascii="宋体" w:eastAsia="宋体" w:hAnsi="宋体" w:hint="eastAsia"/>
          <w:b/>
          <w:sz w:val="36"/>
          <w:szCs w:val="36"/>
        </w:rPr>
        <w:t>工作</w:t>
      </w:r>
      <w:r w:rsidR="00943829" w:rsidRPr="00722F6A">
        <w:rPr>
          <w:rFonts w:ascii="宋体" w:eastAsia="宋体" w:hAnsi="宋体" w:hint="eastAsia"/>
          <w:b/>
          <w:sz w:val="36"/>
          <w:szCs w:val="36"/>
        </w:rPr>
        <w:t>具体操作方案</w:t>
      </w:r>
    </w:p>
    <w:p w:rsidR="00CF3A18" w:rsidRDefault="00CF3A18" w:rsidP="00CF3A18">
      <w:pPr>
        <w:jc w:val="center"/>
        <w:rPr>
          <w:rFonts w:ascii="华文中宋" w:eastAsia="华文中宋" w:hAnsi="华文中宋"/>
          <w:b/>
          <w:sz w:val="36"/>
          <w:szCs w:val="36"/>
        </w:rPr>
      </w:pPr>
    </w:p>
    <w:p w:rsidR="00CF3A18" w:rsidRPr="00722F6A" w:rsidRDefault="00CF3A18" w:rsidP="00722F6A">
      <w:pPr>
        <w:spacing w:line="560" w:lineRule="exact"/>
        <w:ind w:firstLine="646"/>
        <w:rPr>
          <w:rFonts w:ascii="仿宋_GB2312" w:eastAsia="仿宋_GB2312" w:hAnsi="华文中宋" w:hint="eastAsia"/>
          <w:sz w:val="32"/>
          <w:szCs w:val="32"/>
        </w:rPr>
      </w:pPr>
      <w:r w:rsidRPr="00722F6A">
        <w:rPr>
          <w:rFonts w:ascii="仿宋_GB2312" w:eastAsia="仿宋_GB2312" w:hAnsi="华文中宋" w:hint="eastAsia"/>
          <w:sz w:val="32"/>
          <w:szCs w:val="32"/>
        </w:rPr>
        <w:t>按照国务院办公厅有关通知要求和市政府4月19日专题会议精神，参照市级工作方案，为全力做好本区落实新的组合式税费支持政策工作，区财政局、区税务局牵头制定了本区工作实际操作方案如下：</w:t>
      </w:r>
    </w:p>
    <w:p w:rsidR="00CF3A18" w:rsidRPr="00722F6A" w:rsidRDefault="00CF3A18" w:rsidP="00722F6A">
      <w:pPr>
        <w:spacing w:line="560" w:lineRule="exact"/>
        <w:ind w:firstLine="646"/>
        <w:rPr>
          <w:rFonts w:ascii="仿宋_GB2312" w:eastAsia="仿宋_GB2312" w:hAnsi="黑体" w:hint="eastAsia"/>
          <w:sz w:val="32"/>
          <w:szCs w:val="32"/>
        </w:rPr>
      </w:pPr>
      <w:r w:rsidRPr="00722F6A">
        <w:rPr>
          <w:rFonts w:ascii="仿宋_GB2312" w:eastAsia="仿宋_GB2312" w:hAnsi="黑体" w:hint="eastAsia"/>
          <w:sz w:val="32"/>
          <w:szCs w:val="32"/>
        </w:rPr>
        <w:t>一、指导思想和工作要求</w:t>
      </w:r>
    </w:p>
    <w:p w:rsidR="001160D3" w:rsidRPr="00722F6A" w:rsidRDefault="001160D3" w:rsidP="00722F6A">
      <w:pPr>
        <w:spacing w:line="560" w:lineRule="exact"/>
        <w:ind w:firstLine="646"/>
        <w:rPr>
          <w:rFonts w:ascii="仿宋_GB2312" w:eastAsia="仿宋_GB2312" w:hint="eastAsia"/>
          <w:b/>
          <w:sz w:val="32"/>
          <w:szCs w:val="32"/>
        </w:rPr>
      </w:pPr>
      <w:r w:rsidRPr="00722F6A">
        <w:rPr>
          <w:rFonts w:ascii="仿宋_GB2312" w:eastAsia="仿宋_GB2312" w:hint="eastAsia"/>
          <w:b/>
          <w:sz w:val="32"/>
          <w:szCs w:val="32"/>
        </w:rPr>
        <w:t>（一）</w:t>
      </w:r>
      <w:r w:rsidR="00CF3A18" w:rsidRPr="00722F6A">
        <w:rPr>
          <w:rFonts w:ascii="仿宋_GB2312" w:eastAsia="仿宋_GB2312" w:hint="eastAsia"/>
          <w:b/>
          <w:sz w:val="32"/>
          <w:szCs w:val="32"/>
        </w:rPr>
        <w:t>指导思想</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sz w:val="32"/>
          <w:szCs w:val="32"/>
        </w:rPr>
        <w:t>坚持以习近平新时代中国特色社会主义思想为指导，全面贯彻总书记重要批示和党中央、国务院重要决策部署，稳步落实大规模增值税留抵退税政策，细化落实小规模纳税人阶段性免征增值税、小型微利企业企业所得税优惠、提高科技型中小企业研发费用加计扣除比例、加大中小微企业设备器具税前扣除以及小微企业、个体工商户、小规模纳税人“六税</w:t>
      </w:r>
      <w:r w:rsidR="00943829" w:rsidRPr="00722F6A">
        <w:rPr>
          <w:rFonts w:ascii="仿宋_GB2312" w:eastAsia="仿宋_GB2312" w:hint="eastAsia"/>
          <w:sz w:val="32"/>
          <w:szCs w:val="32"/>
        </w:rPr>
        <w:t>两费”减免等减税政策，</w:t>
      </w:r>
      <w:r w:rsidRPr="00722F6A">
        <w:rPr>
          <w:rFonts w:ascii="仿宋_GB2312" w:eastAsia="仿宋_GB2312" w:hint="eastAsia"/>
          <w:sz w:val="32"/>
          <w:szCs w:val="32"/>
        </w:rPr>
        <w:t>切实加强政策服务保障，持续减轻市场主体负担，激发市场主体活力，把减负的“真金白银”尽早送到市场主体手中，推动杨浦区域经济社会平稳健康发展。</w:t>
      </w:r>
    </w:p>
    <w:p w:rsidR="00CF3A18" w:rsidRPr="00722F6A" w:rsidRDefault="001160D3" w:rsidP="00722F6A">
      <w:pPr>
        <w:spacing w:line="560" w:lineRule="exact"/>
        <w:ind w:firstLine="646"/>
        <w:rPr>
          <w:rFonts w:ascii="仿宋_GB2312" w:eastAsia="仿宋_GB2312" w:hint="eastAsia"/>
          <w:b/>
          <w:sz w:val="32"/>
          <w:szCs w:val="32"/>
        </w:rPr>
      </w:pPr>
      <w:r w:rsidRPr="00722F6A">
        <w:rPr>
          <w:rFonts w:ascii="仿宋_GB2312" w:eastAsia="仿宋_GB2312" w:hint="eastAsia"/>
          <w:b/>
          <w:sz w:val="32"/>
          <w:szCs w:val="32"/>
        </w:rPr>
        <w:t>（二）具体工作要求</w:t>
      </w:r>
    </w:p>
    <w:p w:rsidR="00CF3A18" w:rsidRPr="00722F6A" w:rsidRDefault="001160D3"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1.</w:t>
      </w:r>
      <w:r w:rsidR="00CF3A18" w:rsidRPr="00722F6A">
        <w:rPr>
          <w:rFonts w:ascii="仿宋_GB2312" w:eastAsia="仿宋_GB2312" w:hint="eastAsia"/>
          <w:b/>
          <w:sz w:val="32"/>
          <w:szCs w:val="32"/>
        </w:rPr>
        <w:t>提高思想认识。</w:t>
      </w:r>
      <w:r w:rsidR="00CF3A18" w:rsidRPr="00722F6A">
        <w:rPr>
          <w:rFonts w:ascii="仿宋_GB2312" w:eastAsia="仿宋_GB2312" w:hint="eastAsia"/>
          <w:sz w:val="32"/>
          <w:szCs w:val="32"/>
        </w:rPr>
        <w:t>全区上下深刻学习领会实施新的组合</w:t>
      </w:r>
      <w:r w:rsidR="00CA537D" w:rsidRPr="00722F6A">
        <w:rPr>
          <w:rFonts w:ascii="仿宋_GB2312" w:eastAsia="仿宋_GB2312" w:hint="eastAsia"/>
          <w:sz w:val="32"/>
          <w:szCs w:val="32"/>
        </w:rPr>
        <w:t>式税费支持政策、对增值税留抵退</w:t>
      </w:r>
      <w:r w:rsidR="00CF3A18" w:rsidRPr="00722F6A">
        <w:rPr>
          <w:rFonts w:ascii="仿宋_GB2312" w:eastAsia="仿宋_GB2312" w:hint="eastAsia"/>
          <w:sz w:val="32"/>
          <w:szCs w:val="32"/>
        </w:rPr>
        <w:t>税额提前实行大规模退税各项工作的重大意义，切实把思想和行动统一到党中央、国</w:t>
      </w:r>
      <w:r w:rsidR="00CF3A18" w:rsidRPr="00722F6A">
        <w:rPr>
          <w:rFonts w:ascii="仿宋_GB2312" w:eastAsia="仿宋_GB2312" w:hint="eastAsia"/>
          <w:sz w:val="32"/>
          <w:szCs w:val="32"/>
        </w:rPr>
        <w:lastRenderedPageBreak/>
        <w:t>务院和市委、市政府的决策部署上，从讲政治、维护社会大局稳定和全力支持抗击疫情助企纾困的高度，进一步忠诚履职、奋勇担当，确保各项政策不折不扣落实到位，切实增强市场主体减负红利获得感。</w:t>
      </w:r>
    </w:p>
    <w:p w:rsidR="00CF3A18" w:rsidRPr="00722F6A" w:rsidRDefault="001160D3"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2.</w:t>
      </w:r>
      <w:r w:rsidR="00CF3A18" w:rsidRPr="00722F6A">
        <w:rPr>
          <w:rFonts w:ascii="仿宋_GB2312" w:eastAsia="仿宋_GB2312" w:hint="eastAsia"/>
          <w:b/>
          <w:sz w:val="32"/>
          <w:szCs w:val="32"/>
        </w:rPr>
        <w:t>加强组织领导。</w:t>
      </w:r>
      <w:r w:rsidR="00CF3A18" w:rsidRPr="00722F6A">
        <w:rPr>
          <w:rFonts w:ascii="仿宋_GB2312" w:eastAsia="仿宋_GB2312" w:hint="eastAsia"/>
          <w:sz w:val="32"/>
          <w:szCs w:val="32"/>
        </w:rPr>
        <w:t>建立推进落实新的组合式税费支持政策工作领导机制，</w:t>
      </w:r>
      <w:r w:rsidR="00943829" w:rsidRPr="00722F6A">
        <w:rPr>
          <w:rFonts w:ascii="仿宋_GB2312" w:eastAsia="仿宋_GB2312" w:hint="eastAsia"/>
          <w:sz w:val="32"/>
          <w:szCs w:val="32"/>
        </w:rPr>
        <w:t>强化部门协同联动，凝聚工作合力。区税务局要制定退税、减税</w:t>
      </w:r>
      <w:r w:rsidR="00CF3A18" w:rsidRPr="00722F6A">
        <w:rPr>
          <w:rFonts w:ascii="仿宋_GB2312" w:eastAsia="仿宋_GB2312" w:hint="eastAsia"/>
          <w:sz w:val="32"/>
          <w:szCs w:val="32"/>
        </w:rPr>
        <w:t>各项政策落实时间表，及时研究出台配套实施细则办法，做</w:t>
      </w:r>
      <w:r w:rsidR="00CA537D" w:rsidRPr="00722F6A">
        <w:rPr>
          <w:rFonts w:ascii="仿宋_GB2312" w:eastAsia="仿宋_GB2312" w:hint="eastAsia"/>
          <w:sz w:val="32"/>
          <w:szCs w:val="32"/>
        </w:rPr>
        <w:t>到精细化规范化操作管理，确保新的组合式税费支持政策以及大规模留抵</w:t>
      </w:r>
      <w:r w:rsidR="00CF3A18" w:rsidRPr="00722F6A">
        <w:rPr>
          <w:rFonts w:ascii="仿宋_GB2312" w:eastAsia="仿宋_GB2312" w:hint="eastAsia"/>
          <w:sz w:val="32"/>
          <w:szCs w:val="32"/>
        </w:rPr>
        <w:t>退税政策规范有序推进、有效实施。</w:t>
      </w:r>
    </w:p>
    <w:p w:rsidR="00CF3A18" w:rsidRPr="00722F6A" w:rsidRDefault="001160D3"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3.</w:t>
      </w:r>
      <w:r w:rsidR="00CF3A18" w:rsidRPr="00722F6A">
        <w:rPr>
          <w:rFonts w:ascii="仿宋_GB2312" w:eastAsia="仿宋_GB2312" w:hint="eastAsia"/>
          <w:b/>
          <w:sz w:val="32"/>
          <w:szCs w:val="32"/>
        </w:rPr>
        <w:t>严肃财经纪律。</w:t>
      </w:r>
      <w:r w:rsidR="00CF3A18" w:rsidRPr="00722F6A">
        <w:rPr>
          <w:rFonts w:ascii="仿宋_GB2312" w:eastAsia="仿宋_GB2312" w:hint="eastAsia"/>
          <w:sz w:val="32"/>
          <w:szCs w:val="32"/>
        </w:rPr>
        <w:t>坚决扛起稳定宏观经济的政治责任，严格贯彻落实实施新的组合式税费支持政策的政治责任、领导责任和工作责任。加强对财政收入形势的研判，根据实际情况提出合理调整税收收入预期目标的建议，坚决杜绝虚收空转、收过头税费、乱收费等方式增加财政收入。建立对落实退税减税降费政策不到位、违法违规增加财政收入的部门的问责机制。</w:t>
      </w:r>
    </w:p>
    <w:p w:rsidR="00CF3A18" w:rsidRPr="00722F6A" w:rsidRDefault="00CF3A18" w:rsidP="00722F6A">
      <w:pPr>
        <w:spacing w:line="560" w:lineRule="exact"/>
        <w:ind w:firstLine="646"/>
        <w:rPr>
          <w:rFonts w:ascii="仿宋_GB2312" w:eastAsia="仿宋_GB2312" w:hAnsi="黑体" w:hint="eastAsia"/>
          <w:sz w:val="32"/>
          <w:szCs w:val="32"/>
        </w:rPr>
      </w:pPr>
      <w:r w:rsidRPr="00722F6A">
        <w:rPr>
          <w:rFonts w:ascii="仿宋_GB2312" w:eastAsia="仿宋_GB2312" w:hAnsi="黑体" w:hint="eastAsia"/>
          <w:sz w:val="32"/>
          <w:szCs w:val="32"/>
        </w:rPr>
        <w:t>二、重点部门职责分工</w:t>
      </w:r>
    </w:p>
    <w:p w:rsidR="001160D3" w:rsidRPr="00722F6A" w:rsidRDefault="001160D3" w:rsidP="00722F6A">
      <w:pPr>
        <w:spacing w:line="560" w:lineRule="exact"/>
        <w:ind w:firstLine="646"/>
        <w:rPr>
          <w:rFonts w:ascii="仿宋_GB2312" w:eastAsia="仿宋_GB2312" w:hint="eastAsia"/>
          <w:sz w:val="32"/>
          <w:szCs w:val="32"/>
        </w:rPr>
      </w:pPr>
      <w:r w:rsidRPr="00722F6A">
        <w:rPr>
          <w:rFonts w:ascii="仿宋_GB2312" w:eastAsia="仿宋_GB2312" w:hint="eastAsia"/>
          <w:sz w:val="32"/>
          <w:szCs w:val="32"/>
        </w:rPr>
        <w:t>为保障新的组合式税费支持政策贯彻落实到位，区政府</w:t>
      </w:r>
      <w:r w:rsidR="00CF3A18" w:rsidRPr="00722F6A">
        <w:rPr>
          <w:rFonts w:ascii="仿宋_GB2312" w:eastAsia="仿宋_GB2312" w:hint="eastAsia"/>
          <w:sz w:val="32"/>
          <w:szCs w:val="32"/>
        </w:rPr>
        <w:t>设立区工作领导小组</w:t>
      </w:r>
      <w:r w:rsidRPr="00722F6A">
        <w:rPr>
          <w:rFonts w:ascii="仿宋_GB2312" w:eastAsia="仿宋_GB2312" w:hint="eastAsia"/>
          <w:sz w:val="32"/>
          <w:szCs w:val="32"/>
        </w:rPr>
        <w:t>，</w:t>
      </w:r>
      <w:r w:rsidR="00CF3A18" w:rsidRPr="00722F6A">
        <w:rPr>
          <w:rFonts w:ascii="仿宋_GB2312" w:eastAsia="仿宋_GB2312" w:hint="eastAsia"/>
          <w:sz w:val="32"/>
          <w:szCs w:val="32"/>
        </w:rPr>
        <w:t>建立部门协作机制，形成工作合力，统筹协调政策实施过程中遇到的重点难点问题，并提出针对性措施建议；定期牵头组织相关部门开展政策效果跟踪调研，督导政策落实情况，加强部门间信息共享，确保相关工作有序落实落地。</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sz w:val="32"/>
          <w:szCs w:val="32"/>
        </w:rPr>
        <w:lastRenderedPageBreak/>
        <w:t>区</w:t>
      </w:r>
      <w:r w:rsidR="001160D3" w:rsidRPr="00722F6A">
        <w:rPr>
          <w:rFonts w:ascii="仿宋_GB2312" w:eastAsia="仿宋_GB2312" w:hint="eastAsia"/>
          <w:sz w:val="32"/>
          <w:szCs w:val="32"/>
        </w:rPr>
        <w:t>工作</w:t>
      </w:r>
      <w:r w:rsidRPr="00722F6A">
        <w:rPr>
          <w:rFonts w:ascii="仿宋_GB2312" w:eastAsia="仿宋_GB2312" w:hint="eastAsia"/>
          <w:sz w:val="32"/>
          <w:szCs w:val="32"/>
        </w:rPr>
        <w:t>领导小组</w:t>
      </w:r>
      <w:r w:rsidR="001160D3" w:rsidRPr="00722F6A">
        <w:rPr>
          <w:rFonts w:ascii="仿宋_GB2312" w:eastAsia="仿宋_GB2312" w:hint="eastAsia"/>
          <w:sz w:val="32"/>
          <w:szCs w:val="32"/>
        </w:rPr>
        <w:t>由区委常委</w:t>
      </w:r>
      <w:r w:rsidR="00943829" w:rsidRPr="00722F6A">
        <w:rPr>
          <w:rFonts w:ascii="仿宋_GB2312" w:eastAsia="仿宋_GB2312" w:hint="eastAsia"/>
          <w:sz w:val="32"/>
          <w:szCs w:val="32"/>
        </w:rPr>
        <w:t>、副区长尼冰任组长，区财政局、区税务局、</w:t>
      </w:r>
      <w:r w:rsidR="001160D3" w:rsidRPr="00722F6A">
        <w:rPr>
          <w:rFonts w:ascii="仿宋_GB2312" w:eastAsia="仿宋_GB2312" w:hint="eastAsia"/>
          <w:sz w:val="32"/>
          <w:szCs w:val="32"/>
        </w:rPr>
        <w:t>区发展改革委、区科委、区投促办、区商务委等部门作为领导小组成员单位。领导小组</w:t>
      </w:r>
      <w:r w:rsidRPr="00722F6A">
        <w:rPr>
          <w:rFonts w:ascii="仿宋_GB2312" w:eastAsia="仿宋_GB2312" w:hint="eastAsia"/>
          <w:sz w:val="32"/>
          <w:szCs w:val="32"/>
        </w:rPr>
        <w:t>办公室设在区财政局，区财政局局长戴丽芳、区税务局局长肖红梅任办公室主任；区财政局、区税务局分管领导和相关业务科室负责落实日常工作。</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sz w:val="32"/>
          <w:szCs w:val="32"/>
        </w:rPr>
        <w:t>区领导小组各成员单位具体职责分工：</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区财政局</w:t>
      </w:r>
      <w:r w:rsidRPr="00722F6A">
        <w:rPr>
          <w:rFonts w:ascii="仿宋_GB2312" w:eastAsia="仿宋_GB2312" w:hint="eastAsia"/>
          <w:sz w:val="32"/>
          <w:szCs w:val="32"/>
        </w:rPr>
        <w:t>主要负责推进新的组合式税费支持政策各项工作的协调安排，协调研究政策实施过程中遇到的主要问题，及时提出政策调整完善建议；加强财政收入影响跟踪监测分析，全力推进做好财政稳增长工</w:t>
      </w:r>
      <w:r w:rsidR="00CA537D" w:rsidRPr="00722F6A">
        <w:rPr>
          <w:rFonts w:ascii="仿宋_GB2312" w:eastAsia="仿宋_GB2312" w:hint="eastAsia"/>
          <w:sz w:val="32"/>
          <w:szCs w:val="32"/>
        </w:rPr>
        <w:t>作；按照区税务局提供的退税需求，切实做好财力保障；统筹安排好留抵</w:t>
      </w:r>
      <w:r w:rsidRPr="00722F6A">
        <w:rPr>
          <w:rFonts w:ascii="仿宋_GB2312" w:eastAsia="仿宋_GB2312" w:hint="eastAsia"/>
          <w:sz w:val="32"/>
          <w:szCs w:val="32"/>
        </w:rPr>
        <w:t>退税中央转移支付专项资金的预算支出方案；协调区级国库行支持退税工作有序推进。</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区税务局</w:t>
      </w:r>
      <w:r w:rsidRPr="00722F6A">
        <w:rPr>
          <w:rFonts w:ascii="仿宋_GB2312" w:eastAsia="仿宋_GB2312" w:hint="eastAsia"/>
          <w:sz w:val="32"/>
          <w:szCs w:val="32"/>
        </w:rPr>
        <w:t>主要</w:t>
      </w:r>
      <w:r w:rsidR="00CA537D" w:rsidRPr="00722F6A">
        <w:rPr>
          <w:rFonts w:ascii="仿宋_GB2312" w:eastAsia="仿宋_GB2312" w:hint="eastAsia"/>
          <w:sz w:val="32"/>
          <w:szCs w:val="32"/>
        </w:rPr>
        <w:t>负责落实新的组合式税费支持政策，按月向区财政局提供存量和增量留抵</w:t>
      </w:r>
      <w:r w:rsidRPr="00722F6A">
        <w:rPr>
          <w:rFonts w:ascii="仿宋_GB2312" w:eastAsia="仿宋_GB2312" w:hint="eastAsia"/>
          <w:sz w:val="32"/>
          <w:szCs w:val="32"/>
        </w:rPr>
        <w:t>退税额、退付计划、实际</w:t>
      </w:r>
      <w:r w:rsidR="00CA537D" w:rsidRPr="00722F6A">
        <w:rPr>
          <w:rFonts w:ascii="仿宋_GB2312" w:eastAsia="仿宋_GB2312" w:hint="eastAsia"/>
          <w:sz w:val="32"/>
          <w:szCs w:val="32"/>
        </w:rPr>
        <w:t>退付金额等明细数据，加强留抵</w:t>
      </w:r>
      <w:r w:rsidRPr="00722F6A">
        <w:rPr>
          <w:rFonts w:ascii="仿宋_GB2312" w:eastAsia="仿宋_GB2312" w:hint="eastAsia"/>
          <w:sz w:val="32"/>
          <w:szCs w:val="32"/>
        </w:rPr>
        <w:t>退税风险监控，动态跟踪政策执行情况，及时研究提出相关政策调整完善建议。</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区发改委、区科委、区投促办、区商务委</w:t>
      </w:r>
      <w:r w:rsidRPr="00722F6A">
        <w:rPr>
          <w:rFonts w:ascii="仿宋_GB2312" w:eastAsia="仿宋_GB2312" w:hint="eastAsia"/>
          <w:sz w:val="32"/>
          <w:szCs w:val="32"/>
        </w:rPr>
        <w:t>主要负责跟踪收集政策落实情况，深入挖掘搜集企业典型案例，及时向区财政局反馈政策落实过程中遇到的问题和切实管用的政策建议，分析评估退税减税对于稳住经济大盘的支撑保障作用，关注并正确引导社会舆情，做好对相关行业企业的政策宣传和解释工作。</w:t>
      </w:r>
    </w:p>
    <w:p w:rsidR="00CF3A18" w:rsidRPr="00722F6A" w:rsidRDefault="00CF3A18" w:rsidP="00722F6A">
      <w:pPr>
        <w:spacing w:line="560" w:lineRule="exact"/>
        <w:ind w:firstLine="646"/>
        <w:rPr>
          <w:rFonts w:ascii="仿宋_GB2312" w:eastAsia="仿宋_GB2312" w:hAnsi="黑体" w:hint="eastAsia"/>
          <w:sz w:val="32"/>
          <w:szCs w:val="32"/>
        </w:rPr>
      </w:pPr>
      <w:r w:rsidRPr="00722F6A">
        <w:rPr>
          <w:rFonts w:ascii="仿宋_GB2312" w:eastAsia="仿宋_GB2312" w:hAnsi="黑体" w:hint="eastAsia"/>
          <w:sz w:val="32"/>
          <w:szCs w:val="32"/>
        </w:rPr>
        <w:lastRenderedPageBreak/>
        <w:t>三、扎实推进重点任务</w:t>
      </w:r>
    </w:p>
    <w:p w:rsidR="00CF3A18" w:rsidRPr="00722F6A" w:rsidRDefault="00943829"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（一）全面落实税收</w:t>
      </w:r>
      <w:r w:rsidR="00CF3A18" w:rsidRPr="00722F6A">
        <w:rPr>
          <w:rFonts w:ascii="仿宋_GB2312" w:eastAsia="仿宋_GB2312" w:hint="eastAsia"/>
          <w:b/>
          <w:sz w:val="32"/>
          <w:szCs w:val="32"/>
        </w:rPr>
        <w:t>政策。</w:t>
      </w:r>
      <w:r w:rsidRPr="00722F6A">
        <w:rPr>
          <w:rFonts w:ascii="仿宋_GB2312" w:eastAsia="仿宋_GB2312" w:hint="eastAsia"/>
          <w:sz w:val="32"/>
          <w:szCs w:val="32"/>
        </w:rPr>
        <w:t>坚决依法依规把该退的税退到位，该减的税减到位</w:t>
      </w:r>
      <w:r w:rsidR="00CF3A18" w:rsidRPr="00722F6A">
        <w:rPr>
          <w:rFonts w:ascii="仿宋_GB2312" w:eastAsia="仿宋_GB2312" w:hint="eastAsia"/>
          <w:sz w:val="32"/>
          <w:szCs w:val="32"/>
        </w:rPr>
        <w:t>。其中，6月30日</w:t>
      </w:r>
      <w:r w:rsidR="00CA537D" w:rsidRPr="00722F6A">
        <w:rPr>
          <w:rFonts w:ascii="仿宋_GB2312" w:eastAsia="仿宋_GB2312" w:hint="eastAsia"/>
          <w:sz w:val="32"/>
          <w:szCs w:val="32"/>
        </w:rPr>
        <w:t>前，集中退还微型、中小型、大型企业存量留抵税额，按月退还增量留抵</w:t>
      </w:r>
      <w:r w:rsidR="00CF3A18" w:rsidRPr="00722F6A">
        <w:rPr>
          <w:rFonts w:ascii="仿宋_GB2312" w:eastAsia="仿宋_GB2312" w:hint="eastAsia"/>
          <w:sz w:val="32"/>
          <w:szCs w:val="32"/>
        </w:rPr>
        <w:t>退税；严格按照国家规定执行减税、降费政策，确保相关市场主体应享尽享。</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（二）加强财政财力保障。</w:t>
      </w:r>
      <w:r w:rsidR="00CA537D" w:rsidRPr="00722F6A">
        <w:rPr>
          <w:rFonts w:ascii="仿宋_GB2312" w:eastAsia="仿宋_GB2312" w:hint="eastAsia"/>
          <w:sz w:val="32"/>
          <w:szCs w:val="32"/>
        </w:rPr>
        <w:t>统筹做好留抵</w:t>
      </w:r>
      <w:r w:rsidRPr="00722F6A">
        <w:rPr>
          <w:rFonts w:ascii="仿宋_GB2312" w:eastAsia="仿宋_GB2312" w:hint="eastAsia"/>
          <w:sz w:val="32"/>
          <w:szCs w:val="32"/>
        </w:rPr>
        <w:t>退税中央转移支出专项资金安排使用计划，重点用于解决今年疫情防控和重大民生等增支需求，加强对部门使用专项资金的监督管理；密切关注区级国库库款情况，按规定做好库款调库工作，确保财政平稳运行。</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（三）加强收入跟踪监测。</w:t>
      </w:r>
      <w:r w:rsidRPr="00722F6A">
        <w:rPr>
          <w:rFonts w:ascii="仿宋_GB2312" w:eastAsia="仿宋_GB2312" w:hint="eastAsia"/>
          <w:sz w:val="32"/>
          <w:szCs w:val="32"/>
        </w:rPr>
        <w:t>密切关注政策影响，积极分析研判新的组合式税费支持政策对本区收入的具体影响程度，强化收入预测和分析，坚持以月保季、以季保年，扎实推进来落实收入稳增长重点任务。动态跟踪中小企业和重点税源企业的收入变化趋势，确保区级财政收入在合理区间。</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（四）加大收入组织力度。</w:t>
      </w:r>
      <w:r w:rsidRPr="00722F6A">
        <w:rPr>
          <w:rFonts w:ascii="仿宋_GB2312" w:eastAsia="仿宋_GB2312" w:hint="eastAsia"/>
          <w:sz w:val="32"/>
          <w:szCs w:val="32"/>
        </w:rPr>
        <w:t>积极组织各项税收收入和非税收入，及时足额缴入国库。有序组织前期专项缓税收入、历年结存免抵调收入入库，根据收入情况、结合本区实际，探索组织国资特别收益补充一般公共预算，有效对冲部分新的组合式税费支持政策对区级财政收入的减收影响。</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（五）深入开展宣传辅导。</w:t>
      </w:r>
      <w:r w:rsidRPr="00722F6A">
        <w:rPr>
          <w:rFonts w:ascii="仿宋_GB2312" w:eastAsia="仿宋_GB2312" w:hint="eastAsia"/>
          <w:sz w:val="32"/>
          <w:szCs w:val="32"/>
        </w:rPr>
        <w:t>切实增强企业服务意识，跨前做好政策适用企业名单梳理，主动开展“滴灌式”宣传辅导，让市场主体掌握政策更精准、享受优惠更彻底。深入挖</w:t>
      </w:r>
      <w:r w:rsidRPr="00722F6A">
        <w:rPr>
          <w:rFonts w:ascii="仿宋_GB2312" w:eastAsia="仿宋_GB2312" w:hint="eastAsia"/>
          <w:sz w:val="32"/>
          <w:szCs w:val="32"/>
        </w:rPr>
        <w:lastRenderedPageBreak/>
        <w:t>掘政策效应，搜集典型企业案例，综合运用传统媒体、政务新媒体等多种平台，加大舆论宣传力度，主动回应社会关切，努力营造有利于政策落地的正面舆论氛围。</w:t>
      </w:r>
    </w:p>
    <w:p w:rsidR="00CF3A18" w:rsidRPr="00722F6A" w:rsidRDefault="00CF3A18" w:rsidP="00722F6A">
      <w:pPr>
        <w:spacing w:line="560" w:lineRule="exact"/>
        <w:ind w:firstLine="646"/>
        <w:rPr>
          <w:rFonts w:ascii="仿宋_GB2312" w:eastAsia="仿宋_GB2312" w:hint="eastAsia"/>
          <w:sz w:val="32"/>
          <w:szCs w:val="32"/>
        </w:rPr>
      </w:pPr>
      <w:r w:rsidRPr="00722F6A">
        <w:rPr>
          <w:rFonts w:ascii="仿宋_GB2312" w:eastAsia="仿宋_GB2312" w:hint="eastAsia"/>
          <w:b/>
          <w:sz w:val="32"/>
          <w:szCs w:val="32"/>
        </w:rPr>
        <w:t>（六）建立联动保障机制。</w:t>
      </w:r>
      <w:r w:rsidRPr="00722F6A">
        <w:rPr>
          <w:rFonts w:ascii="仿宋_GB2312" w:eastAsia="仿宋_GB2312" w:hint="eastAsia"/>
          <w:sz w:val="32"/>
          <w:szCs w:val="32"/>
        </w:rPr>
        <w:t>区财政局、区税务局建立退税减税政策落实协调机制和定期共享退税信息制度，确保资金、国库和退税办理及时有序，推动各项政策措施不折不扣落到实处、见到实效；区税务局建立完善退税争议协调解决、高风险退</w:t>
      </w:r>
      <w:r w:rsidR="00281C6A" w:rsidRPr="00722F6A">
        <w:rPr>
          <w:rFonts w:ascii="仿宋_GB2312" w:eastAsia="仿宋_GB2312" w:hint="eastAsia"/>
          <w:sz w:val="32"/>
          <w:szCs w:val="32"/>
        </w:rPr>
        <w:t>税评估应对等机制，有力处置应对退税风险；区财政局、区税务局、</w:t>
      </w:r>
      <w:r w:rsidRPr="00722F6A">
        <w:rPr>
          <w:rFonts w:ascii="仿宋_GB2312" w:eastAsia="仿宋_GB2312" w:hint="eastAsia"/>
          <w:sz w:val="32"/>
          <w:szCs w:val="32"/>
        </w:rPr>
        <w:t>区发改委、区科委、区投促办、区商务委建立纳税人快速响应机制，加强政策实施跟踪问效，及时帮助解决纳税人政策适用困难，妥善研究提出相关政策完善建议。</w:t>
      </w:r>
    </w:p>
    <w:sectPr w:rsidR="00CF3A18" w:rsidRPr="00722F6A" w:rsidSect="0030090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024" w:rsidRDefault="00D80024" w:rsidP="00CF3A18">
      <w:r>
        <w:separator/>
      </w:r>
    </w:p>
  </w:endnote>
  <w:endnote w:type="continuationSeparator" w:id="0">
    <w:p w:rsidR="00D80024" w:rsidRDefault="00D80024" w:rsidP="00CF3A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0924"/>
      <w:docPartObj>
        <w:docPartGallery w:val="Page Numbers (Bottom of Page)"/>
        <w:docPartUnique/>
      </w:docPartObj>
    </w:sdtPr>
    <w:sdtEndPr>
      <w:rPr>
        <w:rFonts w:ascii="Times New Roman" w:hAnsi="Times New Roman" w:cs="Times New Roman"/>
        <w:sz w:val="21"/>
        <w:szCs w:val="21"/>
      </w:rPr>
    </w:sdtEndPr>
    <w:sdtContent>
      <w:p w:rsidR="00CF3A18" w:rsidRPr="00CF3A18" w:rsidRDefault="00942EAB">
        <w:pPr>
          <w:pStyle w:val="a4"/>
          <w:jc w:val="center"/>
          <w:rPr>
            <w:rFonts w:ascii="Times New Roman" w:hAnsi="Times New Roman" w:cs="Times New Roman"/>
            <w:sz w:val="21"/>
            <w:szCs w:val="21"/>
          </w:rPr>
        </w:pPr>
        <w:r w:rsidRPr="00CF3A18">
          <w:rPr>
            <w:rFonts w:ascii="Times New Roman" w:hAnsi="Times New Roman" w:cs="Times New Roman"/>
            <w:sz w:val="21"/>
            <w:szCs w:val="21"/>
          </w:rPr>
          <w:fldChar w:fldCharType="begin"/>
        </w:r>
        <w:r w:rsidR="00CF3A18" w:rsidRPr="00CF3A18">
          <w:rPr>
            <w:rFonts w:ascii="Times New Roman" w:hAnsi="Times New Roman" w:cs="Times New Roman"/>
            <w:sz w:val="21"/>
            <w:szCs w:val="21"/>
          </w:rPr>
          <w:instrText xml:space="preserve"> PAGE   \* MERGEFORMAT </w:instrText>
        </w:r>
        <w:r w:rsidRPr="00CF3A18">
          <w:rPr>
            <w:rFonts w:ascii="Times New Roman" w:hAnsi="Times New Roman" w:cs="Times New Roman"/>
            <w:sz w:val="21"/>
            <w:szCs w:val="21"/>
          </w:rPr>
          <w:fldChar w:fldCharType="separate"/>
        </w:r>
        <w:r w:rsidR="00722F6A" w:rsidRPr="00722F6A">
          <w:rPr>
            <w:rFonts w:ascii="Times New Roman" w:hAnsi="Times New Roman" w:cs="Times New Roman"/>
            <w:noProof/>
            <w:sz w:val="21"/>
            <w:szCs w:val="21"/>
            <w:lang w:val="zh-CN"/>
          </w:rPr>
          <w:t>5</w:t>
        </w:r>
        <w:r w:rsidRPr="00CF3A18">
          <w:rPr>
            <w:rFonts w:ascii="Times New Roman" w:hAnsi="Times New Roman" w:cs="Times New Roman"/>
            <w:sz w:val="21"/>
            <w:szCs w:val="21"/>
          </w:rPr>
          <w:fldChar w:fldCharType="end"/>
        </w:r>
      </w:p>
    </w:sdtContent>
  </w:sdt>
  <w:p w:rsidR="00CF3A18" w:rsidRDefault="00CF3A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024" w:rsidRDefault="00D80024" w:rsidP="00CF3A18">
      <w:r>
        <w:separator/>
      </w:r>
    </w:p>
  </w:footnote>
  <w:footnote w:type="continuationSeparator" w:id="0">
    <w:p w:rsidR="00D80024" w:rsidRDefault="00D80024" w:rsidP="00CF3A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A18"/>
    <w:rsid w:val="000C3E8E"/>
    <w:rsid w:val="001160D3"/>
    <w:rsid w:val="00135BAF"/>
    <w:rsid w:val="00197829"/>
    <w:rsid w:val="00281C6A"/>
    <w:rsid w:val="00300902"/>
    <w:rsid w:val="00456FCE"/>
    <w:rsid w:val="007101A2"/>
    <w:rsid w:val="00722F6A"/>
    <w:rsid w:val="00942EAB"/>
    <w:rsid w:val="00943829"/>
    <w:rsid w:val="009A4CB2"/>
    <w:rsid w:val="00AC56F8"/>
    <w:rsid w:val="00AF2147"/>
    <w:rsid w:val="00CA537D"/>
    <w:rsid w:val="00CE29B3"/>
    <w:rsid w:val="00CF3A18"/>
    <w:rsid w:val="00D80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3A18"/>
    <w:rPr>
      <w:sz w:val="18"/>
      <w:szCs w:val="18"/>
    </w:rPr>
  </w:style>
  <w:style w:type="paragraph" w:styleId="a4">
    <w:name w:val="footer"/>
    <w:basedOn w:val="a"/>
    <w:link w:val="Char0"/>
    <w:uiPriority w:val="99"/>
    <w:unhideWhenUsed/>
    <w:rsid w:val="00CF3A18"/>
    <w:pPr>
      <w:tabs>
        <w:tab w:val="center" w:pos="4153"/>
        <w:tab w:val="right" w:pos="8306"/>
      </w:tabs>
      <w:snapToGrid w:val="0"/>
      <w:jc w:val="left"/>
    </w:pPr>
    <w:rPr>
      <w:sz w:val="18"/>
      <w:szCs w:val="18"/>
    </w:rPr>
  </w:style>
  <w:style w:type="character" w:customStyle="1" w:styleId="Char0">
    <w:name w:val="页脚 Char"/>
    <w:basedOn w:val="a0"/>
    <w:link w:val="a4"/>
    <w:uiPriority w:val="99"/>
    <w:rsid w:val="00CF3A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5</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阮宁宁</cp:lastModifiedBy>
  <cp:revision>10</cp:revision>
  <cp:lastPrinted>2022-06-13T07:41:00Z</cp:lastPrinted>
  <dcterms:created xsi:type="dcterms:W3CDTF">2022-06-13T01:49:00Z</dcterms:created>
  <dcterms:modified xsi:type="dcterms:W3CDTF">2022-07-04T08:44:00Z</dcterms:modified>
</cp:coreProperties>
</file>