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杨浦区</w:t>
      </w:r>
      <w:r>
        <w:rPr>
          <w:rFonts w:hint="eastAsia"/>
          <w:b/>
          <w:bCs/>
          <w:sz w:val="36"/>
          <w:szCs w:val="36"/>
          <w:lang w:eastAsia="zh-CN"/>
        </w:rPr>
        <w:t>退役军人事务</w:t>
      </w:r>
      <w:r>
        <w:rPr>
          <w:rFonts w:hint="eastAsia"/>
          <w:b/>
          <w:bCs/>
          <w:sz w:val="36"/>
          <w:szCs w:val="36"/>
        </w:rPr>
        <w:t>局重大行政执法决定法制审核目录</w:t>
      </w:r>
    </w:p>
    <w:tbl>
      <w:tblPr>
        <w:tblStyle w:val="7"/>
        <w:tblW w:w="15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29"/>
        <w:gridCol w:w="1693"/>
        <w:gridCol w:w="7216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序号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种类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具体事项</w:t>
            </w:r>
          </w:p>
        </w:tc>
        <w:tc>
          <w:tcPr>
            <w:tcW w:w="72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主要依据</w:t>
            </w:r>
          </w:p>
        </w:tc>
        <w:tc>
          <w:tcPr>
            <w:tcW w:w="5184" w:type="dxa"/>
            <w:vAlign w:val="center"/>
          </w:tcPr>
          <w:p>
            <w:pPr>
              <w:widowControl/>
              <w:tabs>
                <w:tab w:val="left" w:pos="822"/>
              </w:tabs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 w:bidi="ar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 w:bidi="ar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行政处罚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bidi="ar"/>
              </w:rPr>
              <w:t>对存在拒绝或者无故拖延执行退役军人安置任务等行为，逾期不改的行政处罚</w:t>
            </w:r>
          </w:p>
        </w:tc>
        <w:tc>
          <w:tcPr>
            <w:tcW w:w="72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《中华人民共和国退役军人保障法》第七十七条 </w:t>
            </w:r>
          </w:p>
          <w:p>
            <w:pPr>
              <w:widowControl/>
              <w:numPr>
                <w:ilvl w:val="0"/>
                <w:numId w:val="0"/>
              </w:numPr>
              <w:ind w:firstLine="402" w:firstLineChars="2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违反本法规定，拒绝或者无故拖延执行退役军人安置任务的，由安置地人民政府退役军人工作主管部门责令限期改正；逾期不改正的，予以通报批评。对该单位主要负责人和直接责任人员，由有关部门依法给予处分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《退役士兵安置条例》第五十条 </w:t>
            </w:r>
          </w:p>
          <w:p>
            <w:pPr>
              <w:widowControl/>
              <w:numPr>
                <w:ilvl w:val="0"/>
                <w:numId w:val="0"/>
              </w:numPr>
              <w:ind w:leftChars="0" w:firstLine="402" w:firstLineChars="2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接收安置退役士兵的单位违反本条例的规定，有下列情形之一的，由当地人民政府退役士兵安置工作主管部门责令限期改正；逾期不改的，对国家机关、社会团体、事业单位主要负责人和直接责任人员依法给予处分，对企业按照涉及退役士兵人数乘以当地上年度城镇职工平均工资10倍的金额处以罚款，并对接收单位及其主要负责人予以通报批评：</w:t>
            </w:r>
          </w:p>
          <w:p>
            <w:pPr>
              <w:widowControl/>
              <w:numPr>
                <w:ilvl w:val="0"/>
                <w:numId w:val="2"/>
              </w:numPr>
              <w:ind w:leftChars="0" w:firstLine="402" w:firstLineChars="2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拒绝或者无故拖延执行人民政府下达的安排退役士兵工作任务的；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402" w:firstLineChars="2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未依法与退役士兵签订劳动合同、聘用合同的；</w:t>
            </w:r>
          </w:p>
          <w:p>
            <w:pPr>
              <w:widowControl/>
              <w:numPr>
                <w:ilvl w:val="0"/>
                <w:numId w:val="0"/>
              </w:numPr>
              <w:ind w:leftChars="20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（三）与残疾退役士兵解除劳动关系或者人事关系的。</w:t>
            </w:r>
          </w:p>
        </w:tc>
        <w:tc>
          <w:tcPr>
            <w:tcW w:w="518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（一）执法主体是否合法，执法人员是否具备执法资格；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（二）主要事实是否清楚，证据是否确凿、充分；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（三）适用法律、法规、规章是否准确；处罚裁量基准是否适当；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51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bidi="ar"/>
              </w:rPr>
              <w:t>对负有军人优待义务的单位不履行优待义务，逾期仍未履行的行政处罚</w:t>
            </w:r>
          </w:p>
        </w:tc>
        <w:tc>
          <w:tcPr>
            <w:tcW w:w="72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《军人抚恤优待条例》第四十八条　</w:t>
            </w:r>
          </w:p>
          <w:p>
            <w:pPr>
              <w:widowControl/>
              <w:ind w:firstLine="402" w:firstLineChars="20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负有军人优待义务的单位不履行优待义务的，由县级人民政府退役军人事务部门责令限期履行义务；逾期仍未履行的，处以2000元以上1万元以下罚款。对直接负责的主管人员和其他直接责任人员依法给予行政处分、纪律处分。因不履行优待义务使抚恤优待对象受到损失的，应当依法承担赔偿责任。</w:t>
            </w:r>
          </w:p>
        </w:tc>
        <w:tc>
          <w:tcPr>
            <w:tcW w:w="5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（一）执法主体是否合法，执法人员是否具备执法资格；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（二）主要事实是否清楚，证据是否确凿、充分；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（三）适用法律、法规、规章是否准确；处罚裁量基准是否适当；</w:t>
            </w:r>
          </w:p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1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bidi="ar"/>
              </w:rPr>
              <w:t>对负有烈士遗属优待义务的单位不履行优待义务，逾期不改正的行政处罚</w:t>
            </w:r>
          </w:p>
        </w:tc>
        <w:tc>
          <w:tcPr>
            <w:tcW w:w="72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《烈士褒扬条例》第三十八条 </w:t>
            </w:r>
          </w:p>
          <w:p>
            <w:pPr>
              <w:widowControl/>
              <w:ind w:firstLine="602" w:firstLineChars="30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负有烈士遗属优待义务的单位不履行优待义务的，由县级人民政府退役军人事务部门责令限期改正；逾期不改正的，处2000元以上1万元以下的罚款；属于国有或者国有控股企业、财政拨款的事业单位的，对直接负责的主管人员和其他直接责任人员依法给予处分。</w:t>
            </w:r>
          </w:p>
        </w:tc>
        <w:tc>
          <w:tcPr>
            <w:tcW w:w="5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（一）执法主体是否合法，执法人员是否具备执法资格；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（二）主要事实是否清楚，证据是否确凿、充分；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（三）适用法律、法规、规章是否准确；处罚裁量基准是否适当；</w:t>
            </w:r>
          </w:p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bidi="ar"/>
              </w:rPr>
              <w:t>对退役军人弄虚作假骗取退役相关待遇的行政处罚</w:t>
            </w:r>
          </w:p>
        </w:tc>
        <w:tc>
          <w:tcPr>
            <w:tcW w:w="72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1.《中华人民共和国退役军人保障法》第七十八条 退役军人弄虚作假骗取退役相关待遇的，由县级以上地方人民政府退役军人工作主管部门取消相关待遇，追缴非法所得，并由其所在单位或者有关部门依法给予处分。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2.《退役士兵安置条例》第五十一条 退役士兵弄虚作假骗取安置待遇的，由安置地人民政府退役士兵安置工作主管部门取消相关安置待遇。</w:t>
            </w:r>
          </w:p>
        </w:tc>
        <w:tc>
          <w:tcPr>
            <w:tcW w:w="5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（一）执法主体是否合法，执法人员是否具备执法资格；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（二）主要事实是否清楚，证据是否确凿、充分；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（三）适用法律、法规、规章是否准确；处罚裁量基准是否适当；</w:t>
            </w:r>
          </w:p>
          <w:p>
            <w:pPr>
              <w:bidi w:val="0"/>
              <w:ind w:firstLine="327" w:firstLineChars="0"/>
              <w:jc w:val="left"/>
              <w:rPr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1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bidi="ar"/>
              </w:rPr>
              <w:t>对抚恤优待对象冒领抚恤金、优待金、补助金等行为的行政处罚</w:t>
            </w:r>
          </w:p>
        </w:tc>
        <w:tc>
          <w:tcPr>
            <w:tcW w:w="72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《军人抚恤优待条例》第四十九条　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抚恤优待对象有下列行为之一的，由县级人民政府退役军人事务部门给予警告，限期退回非法所得；情节严重的，停止其享受的抚恤、优待；构成犯罪的，依法追究刑事责任：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冒领抚恤金、优待金、补助金的；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(二)虚报病情骗取医药费的；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bidi="ar"/>
              </w:rPr>
              <w:t>(三)出具假证明，伪造证件、印章骗取抚恤金、优待金、补助金的。</w:t>
            </w:r>
          </w:p>
        </w:tc>
        <w:tc>
          <w:tcPr>
            <w:tcW w:w="5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（一）执法主体是否合法，执法人员是否具备执法资格；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（二）主要事实是否清楚，证据是否确凿、充分；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（三）适用法律、法规、规章是否准确；处罚裁量基准是否适当；</w:t>
            </w:r>
          </w:p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（四）程序是否合法，是否充分保障行政相对人权利。</w:t>
            </w:r>
          </w:p>
        </w:tc>
      </w:tr>
    </w:tbl>
    <w:p/>
    <w:p>
      <w:r>
        <w:rPr>
          <w:rFonts w:hint="eastAsia"/>
        </w:rPr>
        <w:t>备注：本目录“以上”包含本数。</w:t>
      </w:r>
    </w:p>
    <w:sectPr>
      <w:pgSz w:w="16838" w:h="11906" w:orient="landscape"/>
      <w:pgMar w:top="550" w:right="720" w:bottom="55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FF5E8"/>
    <w:multiLevelType w:val="singleLevel"/>
    <w:tmpl w:val="9F3FF5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74CC1"/>
    <w:multiLevelType w:val="singleLevel"/>
    <w:tmpl w:val="5EF74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D91076"/>
    <w:multiLevelType w:val="singleLevel"/>
    <w:tmpl w:val="77D9107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55858"/>
    <w:rsid w:val="001827D4"/>
    <w:rsid w:val="00237B7D"/>
    <w:rsid w:val="00B15A81"/>
    <w:rsid w:val="00B34AE6"/>
    <w:rsid w:val="00C606FD"/>
    <w:rsid w:val="03505A22"/>
    <w:rsid w:val="0AC467A9"/>
    <w:rsid w:val="0EBD65EF"/>
    <w:rsid w:val="1356DDC4"/>
    <w:rsid w:val="24655858"/>
    <w:rsid w:val="27F0529E"/>
    <w:rsid w:val="395C61B3"/>
    <w:rsid w:val="3D1A1363"/>
    <w:rsid w:val="3FBF30A3"/>
    <w:rsid w:val="42703D87"/>
    <w:rsid w:val="4F7FC2E9"/>
    <w:rsid w:val="7B254FD9"/>
    <w:rsid w:val="7DEEE354"/>
    <w:rsid w:val="BFF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0"/>
  </w:style>
  <w:style w:type="character" w:styleId="10">
    <w:name w:val="HTML Code"/>
    <w:basedOn w:val="8"/>
    <w:qFormat/>
    <w:uiPriority w:val="0"/>
    <w:rPr>
      <w:rFonts w:ascii="Courier New" w:hAnsi="Courier New"/>
      <w:sz w:val="20"/>
    </w:rPr>
  </w:style>
  <w:style w:type="character" w:styleId="11">
    <w:name w:val="HTML Cite"/>
    <w:basedOn w:val="8"/>
    <w:qFormat/>
    <w:uiPriority w:val="0"/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bsharetext"/>
    <w:basedOn w:val="8"/>
    <w:qFormat/>
    <w:uiPriority w:val="0"/>
  </w:style>
  <w:style w:type="paragraph" w:customStyle="1" w:styleId="15">
    <w:name w:val="dd640wz"/>
    <w:basedOn w:val="1"/>
    <w:qFormat/>
    <w:uiPriority w:val="0"/>
    <w:pPr>
      <w:spacing w:line="390" w:lineRule="atLeast"/>
      <w:jc w:val="left"/>
    </w:pPr>
    <w:rPr>
      <w:rFonts w:cs="Times New Roman"/>
      <w:kern w:val="0"/>
    </w:rPr>
  </w:style>
  <w:style w:type="character" w:customStyle="1" w:styleId="16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9255</Words>
  <Characters>1637</Characters>
  <Lines>13</Lines>
  <Paragraphs>21</Paragraphs>
  <TotalTime>14</TotalTime>
  <ScaleCrop>false</ScaleCrop>
  <LinksUpToDate>false</LinksUpToDate>
  <CharactersWithSpaces>10871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2020-06-18T14:38:00Z</dcterms:created>
  <dc:creator>Administrator</dc:creator>
  <cp:lastModifiedBy>lenovo</cp:lastModifiedBy>
  <cp:lastPrinted>2024-07-04T18:30:00Z</cp:lastPrinted>
  <dcterms:modified xsi:type="dcterms:W3CDTF">2024-07-11T11:13:40Z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