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36" w:rsidRDefault="00633C36" w:rsidP="007D133B">
      <w:pPr>
        <w:spacing w:line="520" w:lineRule="exact"/>
        <w:jc w:val="center"/>
        <w:rPr>
          <w:rFonts w:ascii="黑体" w:eastAsia="黑体"/>
          <w:b/>
          <w:sz w:val="36"/>
          <w:szCs w:val="36"/>
        </w:rPr>
      </w:pPr>
      <w:r w:rsidRPr="00F06095">
        <w:rPr>
          <w:rFonts w:ascii="黑体" w:eastAsia="黑体" w:hint="eastAsia"/>
          <w:b/>
          <w:sz w:val="36"/>
          <w:szCs w:val="36"/>
        </w:rPr>
        <w:t>杨浦区</w:t>
      </w:r>
      <w:r>
        <w:rPr>
          <w:rFonts w:ascii="黑体" w:eastAsia="黑体" w:hint="eastAsia"/>
          <w:b/>
          <w:sz w:val="36"/>
          <w:szCs w:val="36"/>
        </w:rPr>
        <w:t>企业申请</w:t>
      </w:r>
      <w:r w:rsidRPr="00F06095">
        <w:rPr>
          <w:rFonts w:ascii="黑体" w:eastAsia="黑体" w:hint="eastAsia"/>
          <w:b/>
          <w:sz w:val="36"/>
          <w:szCs w:val="36"/>
        </w:rPr>
        <w:t>政府购买</w:t>
      </w:r>
      <w:r w:rsidRPr="00A21439">
        <w:rPr>
          <w:rFonts w:ascii="黑体" w:eastAsia="黑体" w:hint="eastAsia"/>
          <w:b/>
          <w:sz w:val="36"/>
          <w:szCs w:val="36"/>
        </w:rPr>
        <w:t>税务代理和</w:t>
      </w:r>
    </w:p>
    <w:p w:rsidR="00633C36" w:rsidRPr="00F06095" w:rsidRDefault="00D41899" w:rsidP="007D133B">
      <w:pPr>
        <w:spacing w:line="520" w:lineRule="exact"/>
        <w:jc w:val="center"/>
        <w:rPr>
          <w:rFonts w:ascii="黑体" w:eastAsia="黑体"/>
          <w:b/>
          <w:sz w:val="36"/>
          <w:szCs w:val="36"/>
        </w:rPr>
      </w:pPr>
      <w:r w:rsidRPr="00A21439">
        <w:rPr>
          <w:rFonts w:ascii="黑体" w:eastAsia="黑体" w:hint="eastAsia"/>
          <w:b/>
          <w:sz w:val="36"/>
          <w:szCs w:val="36"/>
        </w:rPr>
        <w:t>代理</w:t>
      </w:r>
      <w:r w:rsidR="00633C36" w:rsidRPr="00A21439">
        <w:rPr>
          <w:rFonts w:ascii="黑体" w:eastAsia="黑体" w:hint="eastAsia"/>
          <w:b/>
          <w:sz w:val="36"/>
          <w:szCs w:val="36"/>
        </w:rPr>
        <w:t>记账</w:t>
      </w:r>
      <w:r w:rsidR="00633C36">
        <w:rPr>
          <w:rFonts w:ascii="黑体" w:eastAsia="黑体" w:hint="eastAsia"/>
          <w:b/>
          <w:sz w:val="36"/>
          <w:szCs w:val="36"/>
        </w:rPr>
        <w:t>服务的</w:t>
      </w:r>
      <w:r w:rsidR="00633C36" w:rsidRPr="00A21439">
        <w:rPr>
          <w:rFonts w:ascii="黑体" w:eastAsia="黑体" w:hint="eastAsia"/>
          <w:b/>
          <w:sz w:val="36"/>
          <w:szCs w:val="36"/>
        </w:rPr>
        <w:t>办事指南</w:t>
      </w:r>
    </w:p>
    <w:p w:rsidR="00633C36" w:rsidRDefault="00633C36" w:rsidP="007D133B">
      <w:pPr>
        <w:spacing w:line="520" w:lineRule="exact"/>
      </w:pPr>
    </w:p>
    <w:p w:rsidR="00633C36" w:rsidRPr="00AB6B33" w:rsidRDefault="00633C36" w:rsidP="007D133B">
      <w:pPr>
        <w:spacing w:line="520" w:lineRule="exact"/>
        <w:ind w:leftChars="-128" w:left="-269" w:firstLineChars="300" w:firstLine="900"/>
        <w:rPr>
          <w:rFonts w:ascii="黑体" w:eastAsia="黑体"/>
          <w:sz w:val="30"/>
          <w:szCs w:val="30"/>
        </w:rPr>
      </w:pPr>
      <w:r>
        <w:rPr>
          <w:rFonts w:ascii="黑体" w:eastAsia="黑体" w:hint="eastAsia"/>
          <w:sz w:val="30"/>
          <w:szCs w:val="30"/>
        </w:rPr>
        <w:t>一、背景介绍</w:t>
      </w:r>
    </w:p>
    <w:p w:rsidR="00633C36" w:rsidRPr="00235D9E" w:rsidRDefault="00633C36" w:rsidP="007D133B">
      <w:pPr>
        <w:widowControl/>
        <w:spacing w:line="520" w:lineRule="exact"/>
        <w:ind w:firstLineChars="190" w:firstLine="570"/>
        <w:jc w:val="left"/>
        <w:rPr>
          <w:rFonts w:ascii="仿宋_GB2312" w:eastAsia="仿宋_GB2312" w:hAnsi="华文仿宋"/>
          <w:sz w:val="30"/>
          <w:szCs w:val="30"/>
        </w:rPr>
      </w:pPr>
      <w:r w:rsidRPr="00235D9E">
        <w:rPr>
          <w:rFonts w:ascii="仿宋_GB2312" w:eastAsia="仿宋_GB2312" w:hAnsi="华文仿宋" w:hint="eastAsia"/>
          <w:sz w:val="30"/>
          <w:szCs w:val="30"/>
        </w:rPr>
        <w:t>政府购买税务代理和</w:t>
      </w:r>
      <w:r w:rsidR="00D41899" w:rsidRPr="00235D9E">
        <w:rPr>
          <w:rFonts w:ascii="仿宋_GB2312" w:eastAsia="仿宋_GB2312" w:hAnsi="华文仿宋" w:hint="eastAsia"/>
          <w:sz w:val="30"/>
          <w:szCs w:val="30"/>
        </w:rPr>
        <w:t>代理</w:t>
      </w:r>
      <w:r w:rsidRPr="00235D9E">
        <w:rPr>
          <w:rFonts w:ascii="仿宋_GB2312" w:eastAsia="仿宋_GB2312" w:hAnsi="华文仿宋" w:hint="eastAsia"/>
          <w:sz w:val="30"/>
          <w:szCs w:val="30"/>
        </w:rPr>
        <w:t>记账是杨浦区于</w:t>
      </w:r>
      <w:r w:rsidRPr="00235D9E">
        <w:rPr>
          <w:rFonts w:ascii="仿宋_GB2312" w:eastAsia="仿宋_GB2312" w:hAnsi="华文仿宋"/>
          <w:sz w:val="30"/>
          <w:szCs w:val="30"/>
        </w:rPr>
        <w:t>2003</w:t>
      </w:r>
      <w:r w:rsidRPr="00235D9E">
        <w:rPr>
          <w:rFonts w:ascii="仿宋_GB2312" w:eastAsia="仿宋_GB2312" w:hAnsi="华文仿宋" w:hint="eastAsia"/>
          <w:sz w:val="30"/>
          <w:szCs w:val="30"/>
        </w:rPr>
        <w:t>年在全市首创的服务于</w:t>
      </w:r>
      <w:r w:rsidR="00591A02" w:rsidRPr="00EC3B18">
        <w:rPr>
          <w:rFonts w:ascii="仿宋_GB2312" w:eastAsia="仿宋_GB2312" w:hAnsi="华文仿宋" w:hint="eastAsia"/>
          <w:sz w:val="30"/>
          <w:szCs w:val="30"/>
        </w:rPr>
        <w:t>中</w:t>
      </w:r>
      <w:r w:rsidRPr="00235D9E">
        <w:rPr>
          <w:rFonts w:ascii="仿宋_GB2312" w:eastAsia="仿宋_GB2312" w:hAnsi="华文仿宋" w:hint="eastAsia"/>
          <w:sz w:val="30"/>
          <w:szCs w:val="30"/>
        </w:rPr>
        <w:t>小微企业的创新举措，以政府购买服务的形式，从源头上治理、指导、规范创业初期</w:t>
      </w:r>
      <w:r w:rsidR="006A3E07" w:rsidRPr="004164DB">
        <w:rPr>
          <w:rFonts w:ascii="仿宋_GB2312" w:eastAsia="仿宋_GB2312" w:hAnsi="华文仿宋" w:hint="eastAsia"/>
          <w:sz w:val="30"/>
          <w:szCs w:val="30"/>
        </w:rPr>
        <w:t>中</w:t>
      </w:r>
      <w:r w:rsidRPr="00235D9E">
        <w:rPr>
          <w:rFonts w:ascii="仿宋_GB2312" w:eastAsia="仿宋_GB2312" w:hAnsi="华文仿宋" w:hint="eastAsia"/>
          <w:sz w:val="30"/>
          <w:szCs w:val="30"/>
        </w:rPr>
        <w:t>小微企业的日常财税管理活动，降低初创企业的经营成本。</w:t>
      </w:r>
    </w:p>
    <w:p w:rsidR="00633C36" w:rsidRPr="003318AA" w:rsidRDefault="00BA46D7" w:rsidP="007D133B">
      <w:pPr>
        <w:spacing w:line="520" w:lineRule="exact"/>
        <w:ind w:leftChars="-128" w:left="-269" w:firstLineChars="300" w:firstLine="900"/>
        <w:rPr>
          <w:rFonts w:ascii="黑体" w:eastAsia="黑体"/>
          <w:sz w:val="30"/>
          <w:szCs w:val="30"/>
        </w:rPr>
      </w:pPr>
      <w:r>
        <w:rPr>
          <w:rFonts w:ascii="黑体" w:eastAsia="黑体" w:hint="eastAsia"/>
          <w:sz w:val="30"/>
          <w:szCs w:val="30"/>
        </w:rPr>
        <w:t>二</w:t>
      </w:r>
      <w:r w:rsidR="00633C36" w:rsidRPr="00027953">
        <w:rPr>
          <w:rFonts w:ascii="黑体" w:eastAsia="黑体" w:hint="eastAsia"/>
          <w:sz w:val="30"/>
          <w:szCs w:val="30"/>
        </w:rPr>
        <w:t>、</w:t>
      </w:r>
      <w:r w:rsidR="00633C36">
        <w:rPr>
          <w:rFonts w:ascii="黑体" w:eastAsia="黑体" w:hint="eastAsia"/>
          <w:sz w:val="30"/>
          <w:szCs w:val="30"/>
        </w:rPr>
        <w:t>适用范围</w:t>
      </w:r>
    </w:p>
    <w:p w:rsidR="00D41899" w:rsidRDefault="00D41899" w:rsidP="007D133B">
      <w:pPr>
        <w:spacing w:line="520" w:lineRule="exact"/>
        <w:ind w:leftChars="-128" w:left="-269" w:firstLineChars="300" w:firstLine="900"/>
        <w:rPr>
          <w:rFonts w:ascii="仿宋_GB2312" w:eastAsia="仿宋_GB2312" w:hAnsi="华文仿宋"/>
          <w:sz w:val="30"/>
          <w:szCs w:val="30"/>
        </w:rPr>
      </w:pPr>
      <w:r>
        <w:rPr>
          <w:rFonts w:ascii="仿宋_GB2312" w:eastAsia="仿宋_GB2312" w:hAnsi="华文仿宋" w:hint="eastAsia"/>
          <w:sz w:val="30"/>
          <w:szCs w:val="30"/>
        </w:rPr>
        <w:t>自2018年1月1日起设立，注册登记不满两年（含两年），于《企业基础信息采集及税种核定表》中税种核定起始月三个月内申请的，且必须符合下列条件之一的企业：</w:t>
      </w:r>
    </w:p>
    <w:p w:rsidR="00D41899" w:rsidRDefault="00D41899" w:rsidP="007D133B">
      <w:pPr>
        <w:widowControl/>
        <w:spacing w:line="520" w:lineRule="exact"/>
        <w:ind w:firstLineChars="190" w:firstLine="570"/>
        <w:jc w:val="left"/>
        <w:rPr>
          <w:rFonts w:ascii="仿宋_GB2312" w:eastAsia="仿宋_GB2312" w:hAnsi="华文仿宋"/>
          <w:sz w:val="30"/>
          <w:szCs w:val="30"/>
        </w:rPr>
      </w:pPr>
      <w:r>
        <w:rPr>
          <w:rFonts w:ascii="仿宋_GB2312" w:eastAsia="仿宋_GB2312" w:hAnsi="华文仿宋" w:hint="eastAsia"/>
          <w:sz w:val="30"/>
          <w:szCs w:val="30"/>
        </w:rPr>
        <w:t>1</w:t>
      </w:r>
      <w:r w:rsidR="008042D0">
        <w:rPr>
          <w:rFonts w:ascii="仿宋_GB2312" w:eastAsia="仿宋_GB2312" w:hAnsi="华文仿宋" w:hint="eastAsia"/>
          <w:sz w:val="30"/>
          <w:szCs w:val="30"/>
        </w:rPr>
        <w:t>、</w:t>
      </w:r>
      <w:r>
        <w:rPr>
          <w:rFonts w:ascii="仿宋_GB2312" w:eastAsia="仿宋_GB2312" w:hAnsi="华文仿宋" w:hint="eastAsia"/>
          <w:sz w:val="30"/>
          <w:szCs w:val="30"/>
        </w:rPr>
        <w:t>注册资本50万元（含）以下的新设企业，不包括外商投资企业、个人独资企业和本市分支机构；</w:t>
      </w:r>
    </w:p>
    <w:p w:rsidR="00D41899" w:rsidRDefault="00D41899" w:rsidP="007D133B">
      <w:pPr>
        <w:widowControl/>
        <w:spacing w:line="520" w:lineRule="exact"/>
        <w:ind w:firstLineChars="190" w:firstLine="570"/>
        <w:jc w:val="left"/>
        <w:rPr>
          <w:rFonts w:ascii="仿宋_GB2312" w:eastAsia="仿宋_GB2312" w:hAnsi="华文仿宋"/>
          <w:sz w:val="30"/>
          <w:szCs w:val="30"/>
        </w:rPr>
      </w:pPr>
      <w:r>
        <w:rPr>
          <w:rFonts w:ascii="仿宋_GB2312" w:eastAsia="仿宋_GB2312" w:hAnsi="华文仿宋" w:hint="eastAsia"/>
          <w:sz w:val="30"/>
          <w:szCs w:val="30"/>
        </w:rPr>
        <w:t>2</w:t>
      </w:r>
      <w:r w:rsidR="008042D0">
        <w:rPr>
          <w:rFonts w:ascii="仿宋_GB2312" w:eastAsia="仿宋_GB2312" w:hAnsi="华文仿宋" w:hint="eastAsia"/>
          <w:sz w:val="30"/>
          <w:szCs w:val="30"/>
        </w:rPr>
        <w:t>、</w:t>
      </w:r>
      <w:r>
        <w:rPr>
          <w:rFonts w:ascii="仿宋_GB2312" w:eastAsia="仿宋_GB2312" w:hAnsi="华文仿宋" w:hint="eastAsia"/>
          <w:sz w:val="30"/>
          <w:szCs w:val="30"/>
        </w:rPr>
        <w:t>注册资本200万元（含）以下的新设企业，且企业经营范围符合我区“两个优先”产业导向的新设立企业</w:t>
      </w:r>
      <w:r w:rsidR="00995A16">
        <w:rPr>
          <w:rFonts w:ascii="仿宋_GB2312" w:eastAsia="仿宋_GB2312" w:hAnsi="华文仿宋" w:hint="eastAsia"/>
          <w:sz w:val="30"/>
          <w:szCs w:val="30"/>
        </w:rPr>
        <w:t>。</w:t>
      </w:r>
    </w:p>
    <w:p w:rsidR="002F2807" w:rsidRPr="004164DB" w:rsidRDefault="002F2807" w:rsidP="004164DB">
      <w:pPr>
        <w:spacing w:line="520" w:lineRule="exact"/>
        <w:ind w:leftChars="-128" w:left="-269" w:firstLineChars="300" w:firstLine="900"/>
        <w:rPr>
          <w:rFonts w:ascii="黑体" w:eastAsia="黑体"/>
          <w:sz w:val="30"/>
          <w:szCs w:val="30"/>
        </w:rPr>
      </w:pPr>
      <w:r w:rsidRPr="004164DB">
        <w:rPr>
          <w:rFonts w:ascii="黑体" w:eastAsia="黑体" w:hint="eastAsia"/>
          <w:sz w:val="30"/>
          <w:szCs w:val="30"/>
        </w:rPr>
        <w:t>三、代理内容</w:t>
      </w:r>
    </w:p>
    <w:p w:rsidR="002F2807" w:rsidRPr="004164DB" w:rsidRDefault="00F040F6" w:rsidP="007D133B">
      <w:pPr>
        <w:widowControl/>
        <w:spacing w:line="520" w:lineRule="exact"/>
        <w:ind w:firstLineChars="190" w:firstLine="570"/>
        <w:jc w:val="left"/>
        <w:rPr>
          <w:rFonts w:ascii="仿宋_GB2312" w:eastAsia="仿宋_GB2312" w:hAnsi="华文仿宋"/>
          <w:sz w:val="30"/>
          <w:szCs w:val="30"/>
        </w:rPr>
      </w:pPr>
      <w:r w:rsidRPr="004164DB">
        <w:rPr>
          <w:rFonts w:ascii="仿宋_GB2312" w:eastAsia="仿宋_GB2312" w:hAnsi="华文仿宋" w:hint="eastAsia"/>
          <w:sz w:val="30"/>
          <w:szCs w:val="30"/>
        </w:rPr>
        <w:t>按照《中华人民共和国征收管理法》、《上海市代理记账管理实施办法》及有关法律法规的要求，</w:t>
      </w:r>
      <w:r w:rsidR="002F2807" w:rsidRPr="004164DB">
        <w:rPr>
          <w:rFonts w:ascii="仿宋_GB2312" w:eastAsia="仿宋_GB2312" w:hAnsi="华文仿宋" w:hint="eastAsia"/>
          <w:sz w:val="30"/>
          <w:szCs w:val="30"/>
        </w:rPr>
        <w:t>提供税务代理和代理记账服务。</w:t>
      </w:r>
    </w:p>
    <w:p w:rsidR="00235D9E" w:rsidRPr="004164DB" w:rsidRDefault="002F2807" w:rsidP="004164DB">
      <w:pPr>
        <w:spacing w:line="520" w:lineRule="exact"/>
        <w:ind w:leftChars="-128" w:left="-269" w:firstLineChars="300" w:firstLine="900"/>
        <w:rPr>
          <w:rFonts w:ascii="黑体" w:eastAsia="黑体"/>
          <w:sz w:val="30"/>
          <w:szCs w:val="30"/>
        </w:rPr>
      </w:pPr>
      <w:r w:rsidRPr="004164DB">
        <w:rPr>
          <w:rFonts w:ascii="黑体" w:eastAsia="黑体" w:hint="eastAsia"/>
          <w:sz w:val="30"/>
          <w:szCs w:val="30"/>
        </w:rPr>
        <w:t>四</w:t>
      </w:r>
      <w:r w:rsidR="00235D9E" w:rsidRPr="004164DB">
        <w:rPr>
          <w:rFonts w:ascii="黑体" w:eastAsia="黑体" w:hint="eastAsia"/>
          <w:sz w:val="30"/>
          <w:szCs w:val="30"/>
        </w:rPr>
        <w:t>、</w:t>
      </w:r>
      <w:r w:rsidR="002531A9" w:rsidRPr="004164DB">
        <w:rPr>
          <w:rFonts w:ascii="黑体" w:eastAsia="黑体" w:hint="eastAsia"/>
          <w:sz w:val="30"/>
          <w:szCs w:val="30"/>
        </w:rPr>
        <w:t>代理时限</w:t>
      </w:r>
    </w:p>
    <w:p w:rsidR="00235D9E" w:rsidRDefault="00235D9E" w:rsidP="007D133B">
      <w:pPr>
        <w:widowControl/>
        <w:spacing w:line="520" w:lineRule="exact"/>
        <w:ind w:firstLineChars="190" w:firstLine="570"/>
        <w:jc w:val="left"/>
        <w:rPr>
          <w:rFonts w:ascii="仿宋_GB2312" w:eastAsia="仿宋_GB2312" w:hAnsi="华文仿宋"/>
          <w:sz w:val="30"/>
          <w:szCs w:val="30"/>
        </w:rPr>
      </w:pPr>
      <w:r>
        <w:rPr>
          <w:rFonts w:ascii="仿宋_GB2312" w:eastAsia="仿宋_GB2312" w:hAnsi="华文仿宋" w:hint="eastAsia"/>
          <w:sz w:val="30"/>
          <w:szCs w:val="30"/>
        </w:rPr>
        <w:t>企业被代理时间不超过24个月，满24个月则自动退出</w:t>
      </w:r>
      <w:r w:rsidR="002531A9">
        <w:rPr>
          <w:rFonts w:ascii="仿宋_GB2312" w:eastAsia="仿宋_GB2312" w:hAnsi="华文仿宋" w:hint="eastAsia"/>
          <w:sz w:val="30"/>
          <w:szCs w:val="30"/>
        </w:rPr>
        <w:t>。</w:t>
      </w:r>
    </w:p>
    <w:p w:rsidR="002F2807" w:rsidRPr="004164DB" w:rsidRDefault="002F2807" w:rsidP="004164DB">
      <w:pPr>
        <w:spacing w:line="520" w:lineRule="exact"/>
        <w:ind w:leftChars="-128" w:left="-269" w:firstLineChars="300" w:firstLine="900"/>
        <w:rPr>
          <w:rFonts w:ascii="黑体" w:eastAsia="黑体"/>
          <w:sz w:val="30"/>
          <w:szCs w:val="30"/>
        </w:rPr>
      </w:pPr>
      <w:r w:rsidRPr="004164DB">
        <w:rPr>
          <w:rFonts w:ascii="黑体" w:eastAsia="黑体" w:hint="eastAsia"/>
          <w:sz w:val="30"/>
          <w:szCs w:val="30"/>
        </w:rPr>
        <w:t>五、代理费用</w:t>
      </w:r>
    </w:p>
    <w:p w:rsidR="002F2807" w:rsidRPr="004164DB" w:rsidRDefault="002F2807" w:rsidP="004164DB">
      <w:pPr>
        <w:widowControl/>
        <w:spacing w:line="520" w:lineRule="exact"/>
        <w:ind w:firstLineChars="190" w:firstLine="570"/>
        <w:jc w:val="left"/>
        <w:rPr>
          <w:rFonts w:ascii="仿宋_GB2312" w:eastAsia="仿宋_GB2312" w:hAnsi="华文仿宋"/>
          <w:sz w:val="30"/>
          <w:szCs w:val="30"/>
        </w:rPr>
      </w:pPr>
      <w:r w:rsidRPr="004164DB">
        <w:rPr>
          <w:rFonts w:ascii="仿宋_GB2312" w:eastAsia="仿宋_GB2312" w:hAnsi="华文仿宋" w:hint="eastAsia"/>
          <w:sz w:val="30"/>
          <w:szCs w:val="30"/>
        </w:rPr>
        <w:t>提供以上代理</w:t>
      </w:r>
      <w:r w:rsidR="00771D12" w:rsidRPr="004164DB">
        <w:rPr>
          <w:rFonts w:ascii="仿宋_GB2312" w:eastAsia="仿宋_GB2312" w:hAnsi="华文仿宋" w:hint="eastAsia"/>
          <w:sz w:val="30"/>
          <w:szCs w:val="30"/>
        </w:rPr>
        <w:t>服务</w:t>
      </w:r>
      <w:r w:rsidRPr="004164DB">
        <w:rPr>
          <w:rFonts w:ascii="仿宋_GB2312" w:eastAsia="仿宋_GB2312" w:hAnsi="华文仿宋" w:hint="eastAsia"/>
          <w:sz w:val="30"/>
          <w:szCs w:val="30"/>
        </w:rPr>
        <w:t>内容，不收取任何服务费用。</w:t>
      </w:r>
    </w:p>
    <w:p w:rsidR="00001E24" w:rsidRPr="00001E24" w:rsidRDefault="002F2807" w:rsidP="007D133B">
      <w:pPr>
        <w:widowControl/>
        <w:spacing w:line="520" w:lineRule="exact"/>
        <w:ind w:firstLineChars="190" w:firstLine="570"/>
        <w:jc w:val="left"/>
        <w:rPr>
          <w:rFonts w:ascii="黑体" w:eastAsia="黑体"/>
          <w:sz w:val="30"/>
          <w:szCs w:val="30"/>
        </w:rPr>
      </w:pPr>
      <w:r w:rsidRPr="004164DB">
        <w:rPr>
          <w:rFonts w:ascii="黑体" w:eastAsia="黑体" w:hint="eastAsia"/>
          <w:sz w:val="30"/>
          <w:szCs w:val="30"/>
        </w:rPr>
        <w:t>六</w:t>
      </w:r>
      <w:r w:rsidR="00001E24" w:rsidRPr="004164DB">
        <w:rPr>
          <w:rFonts w:ascii="黑体" w:eastAsia="黑体" w:hint="eastAsia"/>
          <w:sz w:val="30"/>
          <w:szCs w:val="30"/>
        </w:rPr>
        <w:t>、</w:t>
      </w:r>
      <w:r w:rsidR="00001E24" w:rsidRPr="00001E24">
        <w:rPr>
          <w:rFonts w:ascii="黑体" w:eastAsia="黑体" w:hint="eastAsia"/>
          <w:sz w:val="30"/>
          <w:szCs w:val="30"/>
        </w:rPr>
        <w:t>操作流程</w:t>
      </w:r>
    </w:p>
    <w:p w:rsidR="00235D9E" w:rsidRDefault="00E5412D" w:rsidP="007D133B">
      <w:pPr>
        <w:widowControl/>
        <w:spacing w:line="520" w:lineRule="exact"/>
        <w:ind w:firstLineChars="190" w:firstLine="570"/>
        <w:jc w:val="left"/>
        <w:rPr>
          <w:rFonts w:ascii="仿宋_GB2312" w:eastAsia="仿宋_GB2312" w:hAnsi="华文仿宋"/>
          <w:sz w:val="30"/>
          <w:szCs w:val="30"/>
        </w:rPr>
      </w:pPr>
      <w:r>
        <w:rPr>
          <w:rFonts w:ascii="仿宋_GB2312" w:eastAsia="仿宋_GB2312" w:hAnsi="华文仿宋"/>
          <w:sz w:val="30"/>
          <w:szCs w:val="30"/>
        </w:rPr>
        <w:lastRenderedPageBreak/>
        <w:pict>
          <v:line id="直线 49" o:spid="_x0000_s1036" style="position:absolute;left:0;text-align:left;z-index:251665920" from="210.75pt,39.75pt" to="228.75pt,39.75pt">
            <v:stroke endarrow="open"/>
          </v:line>
        </w:pict>
      </w:r>
      <w:r>
        <w:rPr>
          <w:rFonts w:ascii="仿宋_GB2312" w:eastAsia="仿宋_GB2312" w:hAnsi="华文仿宋"/>
          <w:sz w:val="30"/>
          <w:szCs w:val="30"/>
        </w:rPr>
        <w:pict>
          <v:line id="直线 47" o:spid="_x0000_s1034" style="position:absolute;left:0;text-align:left;z-index:251663872" from="190.5pt,17.85pt" to="210.75pt,17.85pt">
            <v:stroke endarrow="open"/>
          </v:line>
        </w:pict>
      </w:r>
      <w:r>
        <w:rPr>
          <w:rFonts w:ascii="仿宋_GB2312" w:eastAsia="仿宋_GB2312" w:hAnsi="华文仿宋"/>
          <w:sz w:val="30"/>
          <w:szCs w:val="30"/>
        </w:rPr>
        <w:pict>
          <v:line id="直线 48" o:spid="_x0000_s1035" style="position:absolute;left:0;text-align:left;z-index:251664896" from="84.75pt,39.75pt" to="102.75pt,39.75pt">
            <v:stroke endarrow="open"/>
          </v:line>
        </w:pict>
      </w:r>
      <w:r w:rsidR="00001E24">
        <w:rPr>
          <w:rFonts w:ascii="仿宋_GB2312" w:eastAsia="仿宋_GB2312" w:hAnsi="华文仿宋" w:hint="eastAsia"/>
          <w:sz w:val="30"/>
          <w:szCs w:val="30"/>
        </w:rPr>
        <w:t>企业提出申请</w:t>
      </w:r>
      <w:r w:rsidR="00D61FBE">
        <w:rPr>
          <w:rFonts w:ascii="仿宋_GB2312" w:eastAsia="仿宋_GB2312" w:hAnsi="华文仿宋" w:hint="eastAsia"/>
          <w:sz w:val="30"/>
          <w:szCs w:val="30"/>
        </w:rPr>
        <w:t xml:space="preserve">（附件1）     </w:t>
      </w:r>
      <w:r w:rsidR="00001E24">
        <w:rPr>
          <w:rFonts w:ascii="仿宋_GB2312" w:eastAsia="仿宋_GB2312" w:hAnsi="华文仿宋" w:hint="eastAsia"/>
          <w:sz w:val="30"/>
          <w:szCs w:val="30"/>
        </w:rPr>
        <w:t>所属服务企业责任单位签署意见</w:t>
      </w:r>
      <w:r w:rsidR="00D61FBE">
        <w:rPr>
          <w:rFonts w:ascii="仿宋_GB2312" w:eastAsia="仿宋_GB2312" w:hAnsi="华文仿宋" w:hint="eastAsia"/>
          <w:sz w:val="30"/>
          <w:szCs w:val="30"/>
        </w:rPr>
        <w:t xml:space="preserve">（附件2）    </w:t>
      </w:r>
      <w:r w:rsidR="00001E24">
        <w:rPr>
          <w:rFonts w:ascii="仿宋_GB2312" w:eastAsia="仿宋_GB2312" w:hAnsi="华文仿宋" w:hint="eastAsia"/>
          <w:sz w:val="30"/>
          <w:szCs w:val="30"/>
        </w:rPr>
        <w:t xml:space="preserve">区税务局审核   </w:t>
      </w:r>
      <w:r w:rsidR="00D61FBE">
        <w:rPr>
          <w:rFonts w:ascii="仿宋_GB2312" w:eastAsia="仿宋_GB2312" w:hAnsi="华文仿宋" w:hint="eastAsia"/>
          <w:sz w:val="30"/>
          <w:szCs w:val="30"/>
        </w:rPr>
        <w:t xml:space="preserve"> </w:t>
      </w:r>
      <w:r w:rsidR="00001E24" w:rsidRPr="00F403A2">
        <w:rPr>
          <w:rFonts w:ascii="仿宋_GB2312" w:eastAsia="仿宋_GB2312" w:hAnsi="华文仿宋" w:hint="eastAsia"/>
          <w:sz w:val="30"/>
          <w:szCs w:val="30"/>
        </w:rPr>
        <w:t>区投资服务发展中心</w:t>
      </w:r>
      <w:r w:rsidR="00001E24">
        <w:rPr>
          <w:rFonts w:ascii="仿宋_GB2312" w:eastAsia="仿宋_GB2312" w:hAnsi="华文仿宋" w:hint="eastAsia"/>
          <w:sz w:val="30"/>
          <w:szCs w:val="30"/>
        </w:rPr>
        <w:t xml:space="preserve">审批并通知    代理机构与企业签订业务约定书并进行代理服务     </w:t>
      </w:r>
      <w:r w:rsidR="00001E24" w:rsidRPr="00F403A2">
        <w:rPr>
          <w:rFonts w:ascii="仿宋_GB2312" w:eastAsia="仿宋_GB2312" w:hAnsi="华文仿宋" w:hint="eastAsia"/>
          <w:sz w:val="30"/>
          <w:szCs w:val="30"/>
        </w:rPr>
        <w:t>区投资服务发展中心</w:t>
      </w:r>
      <w:r w:rsidR="00001E24">
        <w:rPr>
          <w:rFonts w:ascii="仿宋_GB2312" w:eastAsia="仿宋_GB2312" w:hAnsi="华文仿宋" w:hint="eastAsia"/>
          <w:sz w:val="30"/>
          <w:szCs w:val="30"/>
        </w:rPr>
        <w:t xml:space="preserve">分类汇总核定    </w:t>
      </w:r>
      <w:r w:rsidR="000A1C6E">
        <w:rPr>
          <w:rFonts w:ascii="仿宋_GB2312" w:eastAsia="仿宋_GB2312" w:hAnsi="华文仿宋" w:hint="eastAsia"/>
          <w:sz w:val="30"/>
          <w:szCs w:val="30"/>
        </w:rPr>
        <w:t>财政国库直接拨付</w:t>
      </w:r>
    </w:p>
    <w:p w:rsidR="008042D0" w:rsidRPr="009570A9" w:rsidRDefault="00E5412D" w:rsidP="009570A9">
      <w:pPr>
        <w:widowControl/>
        <w:spacing w:line="520" w:lineRule="exact"/>
        <w:ind w:firstLineChars="190" w:firstLine="572"/>
        <w:jc w:val="left"/>
        <w:rPr>
          <w:rFonts w:ascii="仿宋_GB2312" w:eastAsia="仿宋_GB2312" w:hAnsi="华文仿宋"/>
          <w:b/>
          <w:sz w:val="30"/>
          <w:szCs w:val="30"/>
        </w:rPr>
      </w:pPr>
      <w:r>
        <w:rPr>
          <w:rFonts w:ascii="仿宋_GB2312" w:eastAsia="仿宋_GB2312" w:hAnsi="华文仿宋"/>
          <w:b/>
          <w:sz w:val="30"/>
          <w:szCs w:val="30"/>
        </w:rPr>
        <w:pict>
          <v:line id="直线 45" o:spid="_x0000_s1032" style="position:absolute;left:0;text-align:left;z-index:251661824" from="233.25pt,-9.25pt" to="251.25pt,-9.25pt">
            <v:stroke endarrow="open"/>
          </v:line>
        </w:pict>
      </w:r>
      <w:r>
        <w:rPr>
          <w:rFonts w:ascii="仿宋_GB2312" w:eastAsia="仿宋_GB2312" w:hAnsi="华文仿宋"/>
          <w:b/>
          <w:sz w:val="30"/>
          <w:szCs w:val="30"/>
        </w:rPr>
        <w:pict>
          <v:line id="直线 50" o:spid="_x0000_s1037" style="position:absolute;left:0;text-align:left;z-index:251666944" from="378.75pt,-35.5pt" to="396.75pt,-35.5pt">
            <v:stroke endarrow="open"/>
          </v:line>
        </w:pict>
      </w:r>
      <w:r>
        <w:rPr>
          <w:rFonts w:ascii="仿宋_GB2312" w:eastAsia="仿宋_GB2312" w:hAnsi="华文仿宋"/>
          <w:b/>
          <w:sz w:val="30"/>
          <w:szCs w:val="30"/>
        </w:rPr>
        <w:pict>
          <v:line id="直线 46" o:spid="_x0000_s1033" style="position:absolute;left:0;text-align:left;z-index:251662848" from="34.5pt,-35.5pt" to="52.5pt,-35.5pt">
            <v:stroke endarrow="open"/>
          </v:line>
        </w:pict>
      </w:r>
      <w:r w:rsidR="008042D0" w:rsidRPr="009570A9">
        <w:rPr>
          <w:rFonts w:ascii="仿宋_GB2312" w:eastAsia="仿宋_GB2312" w:hAnsi="华文仿宋" w:hint="eastAsia"/>
          <w:b/>
          <w:sz w:val="30"/>
          <w:szCs w:val="30"/>
        </w:rPr>
        <w:t>附件表格下载：（网址：</w:t>
      </w:r>
      <w:r w:rsidR="008042D0" w:rsidRPr="009570A9">
        <w:rPr>
          <w:rFonts w:ascii="仿宋_GB2312" w:eastAsia="仿宋_GB2312" w:hAnsi="华文仿宋"/>
          <w:b/>
          <w:sz w:val="30"/>
          <w:szCs w:val="30"/>
        </w:rPr>
        <w:t>http://www.shyp.gov.cn</w:t>
      </w:r>
      <w:r w:rsidR="008042D0" w:rsidRPr="009570A9">
        <w:rPr>
          <w:rFonts w:ascii="仿宋_GB2312" w:eastAsia="仿宋_GB2312" w:hAnsi="华文仿宋" w:hint="eastAsia"/>
          <w:b/>
          <w:sz w:val="30"/>
          <w:szCs w:val="30"/>
        </w:rPr>
        <w:t>）投资杨浦—营商环境—政策快递、政策解读</w:t>
      </w:r>
    </w:p>
    <w:p w:rsidR="00BA46D7" w:rsidRDefault="002F2807" w:rsidP="00BA46D7">
      <w:pPr>
        <w:widowControl/>
        <w:spacing w:line="580" w:lineRule="exact"/>
        <w:ind w:firstLineChars="190" w:firstLine="570"/>
        <w:jc w:val="left"/>
        <w:rPr>
          <w:rFonts w:ascii="黑体" w:eastAsia="黑体"/>
          <w:sz w:val="30"/>
          <w:szCs w:val="30"/>
        </w:rPr>
      </w:pPr>
      <w:r w:rsidRPr="004164DB">
        <w:rPr>
          <w:rFonts w:ascii="黑体" w:eastAsia="黑体" w:hint="eastAsia"/>
          <w:sz w:val="30"/>
          <w:szCs w:val="30"/>
        </w:rPr>
        <w:t>七</w:t>
      </w:r>
      <w:r w:rsidR="00BA46D7" w:rsidRPr="004164DB">
        <w:rPr>
          <w:rFonts w:ascii="黑体" w:eastAsia="黑体" w:hint="eastAsia"/>
          <w:sz w:val="30"/>
          <w:szCs w:val="30"/>
        </w:rPr>
        <w:t>、</w:t>
      </w:r>
      <w:r w:rsidR="00BA46D7">
        <w:rPr>
          <w:rFonts w:ascii="黑体" w:eastAsia="黑体" w:hint="eastAsia"/>
          <w:sz w:val="30"/>
          <w:szCs w:val="30"/>
        </w:rPr>
        <w:t>分配原则</w:t>
      </w:r>
    </w:p>
    <w:p w:rsidR="00BA46D7" w:rsidRDefault="008042D0" w:rsidP="00BA46D7">
      <w:pPr>
        <w:spacing w:line="560" w:lineRule="exact"/>
        <w:ind w:firstLineChars="205" w:firstLine="615"/>
        <w:rPr>
          <w:rFonts w:ascii="仿宋_GB2312" w:eastAsia="仿宋_GB2312" w:hAnsi="华文仿宋"/>
          <w:sz w:val="30"/>
          <w:szCs w:val="30"/>
        </w:rPr>
      </w:pPr>
      <w:r>
        <w:rPr>
          <w:rFonts w:ascii="仿宋_GB2312" w:eastAsia="仿宋_GB2312" w:hAnsi="华文仿宋" w:hint="eastAsia"/>
          <w:sz w:val="30"/>
          <w:szCs w:val="30"/>
        </w:rPr>
        <w:t>1、</w:t>
      </w:r>
      <w:r w:rsidR="00BA46D7">
        <w:rPr>
          <w:rFonts w:ascii="仿宋_GB2312" w:eastAsia="仿宋_GB2312" w:hAnsi="华文仿宋" w:hint="eastAsia"/>
          <w:sz w:val="30"/>
          <w:szCs w:val="30"/>
        </w:rPr>
        <w:t>由区投资服务发展中心按照既定4片划分区域（大桥、定海、延吉、长白地区；五角场地区；新江湾城、殷行、五角场镇地区；平凉、江浦、四平、控江地区），对</w:t>
      </w:r>
      <w:r w:rsidR="00BA46D7">
        <w:rPr>
          <w:rFonts w:ascii="仿宋_GB2312" w:eastAsia="仿宋_GB2312" w:hAnsi="华文仿宋" w:hint="eastAsia"/>
          <w:spacing w:val="-6"/>
          <w:sz w:val="30"/>
          <w:szCs w:val="30"/>
        </w:rPr>
        <w:t>涉及区投资服务发展中心各分中心的相关企业及服务范围中的科技园区</w:t>
      </w:r>
      <w:r w:rsidR="00BA46D7">
        <w:rPr>
          <w:rFonts w:ascii="仿宋_GB2312" w:eastAsia="仿宋_GB2312" w:hAnsi="华文仿宋" w:hint="eastAsia"/>
          <w:sz w:val="30"/>
          <w:szCs w:val="30"/>
        </w:rPr>
        <w:t>分派至中标代理机构。</w:t>
      </w:r>
    </w:p>
    <w:p w:rsidR="00BA46D7" w:rsidRDefault="008042D0" w:rsidP="00BA46D7">
      <w:pPr>
        <w:spacing w:line="560" w:lineRule="exact"/>
        <w:ind w:firstLineChars="205" w:firstLine="615"/>
        <w:rPr>
          <w:rFonts w:ascii="仿宋_GB2312" w:eastAsia="仿宋_GB2312" w:hAnsi="华文仿宋"/>
          <w:sz w:val="30"/>
          <w:szCs w:val="30"/>
        </w:rPr>
      </w:pPr>
      <w:r>
        <w:rPr>
          <w:rFonts w:ascii="仿宋_GB2312" w:eastAsia="仿宋_GB2312" w:hAnsi="华文仿宋" w:hint="eastAsia"/>
          <w:sz w:val="30"/>
          <w:szCs w:val="30"/>
        </w:rPr>
        <w:t>2、</w:t>
      </w:r>
      <w:r w:rsidR="00BA46D7">
        <w:rPr>
          <w:rFonts w:ascii="仿宋_GB2312" w:eastAsia="仿宋_GB2312" w:hAnsi="华文仿宋" w:hint="eastAsia"/>
          <w:sz w:val="30"/>
          <w:szCs w:val="30"/>
        </w:rPr>
        <w:t>为了紧紧围绕杨浦“双创”示范基地建设，更进一步做好创业型企业的服务，同时为兼顾地域资源分布不均的现状，对于区内众创空间中涉及的相关企业，由区</w:t>
      </w:r>
      <w:r w:rsidR="00BA46D7" w:rsidRPr="00222ABE">
        <w:rPr>
          <w:rFonts w:ascii="仿宋_GB2312" w:eastAsia="仿宋_GB2312" w:hAnsi="华文仿宋" w:hint="eastAsia"/>
          <w:sz w:val="30"/>
          <w:szCs w:val="30"/>
        </w:rPr>
        <w:t>投资</w:t>
      </w:r>
      <w:r w:rsidR="00BA46D7">
        <w:rPr>
          <w:rFonts w:ascii="仿宋_GB2312" w:eastAsia="仿宋_GB2312" w:hAnsi="华文仿宋" w:hint="eastAsia"/>
          <w:sz w:val="30"/>
          <w:szCs w:val="30"/>
        </w:rPr>
        <w:t>服务发展中心根据“就近便利、均衡分配”的原则，分派至各中标代理机构。</w:t>
      </w:r>
    </w:p>
    <w:p w:rsidR="00633C36" w:rsidRDefault="002F2807" w:rsidP="00452691">
      <w:pPr>
        <w:widowControl/>
        <w:spacing w:line="580" w:lineRule="exact"/>
        <w:ind w:firstLineChars="190" w:firstLine="570"/>
        <w:jc w:val="left"/>
        <w:rPr>
          <w:rFonts w:ascii="黑体" w:eastAsia="黑体"/>
          <w:sz w:val="30"/>
          <w:szCs w:val="30"/>
        </w:rPr>
      </w:pPr>
      <w:r w:rsidRPr="004164DB">
        <w:rPr>
          <w:rFonts w:ascii="黑体" w:eastAsia="黑体" w:hint="eastAsia"/>
          <w:sz w:val="30"/>
          <w:szCs w:val="30"/>
        </w:rPr>
        <w:t>八</w:t>
      </w:r>
      <w:r w:rsidR="00633C36" w:rsidRPr="004164DB">
        <w:rPr>
          <w:rFonts w:ascii="黑体" w:eastAsia="黑体" w:hint="eastAsia"/>
          <w:sz w:val="30"/>
          <w:szCs w:val="30"/>
        </w:rPr>
        <w:t>、</w:t>
      </w:r>
      <w:r w:rsidR="008042D0">
        <w:rPr>
          <w:rFonts w:ascii="黑体" w:eastAsia="黑体" w:hint="eastAsia"/>
          <w:sz w:val="30"/>
          <w:szCs w:val="30"/>
        </w:rPr>
        <w:t>服务监督</w:t>
      </w:r>
    </w:p>
    <w:p w:rsidR="00B81564" w:rsidRDefault="00B81564" w:rsidP="00452691">
      <w:pPr>
        <w:widowControl/>
        <w:spacing w:line="580" w:lineRule="exact"/>
        <w:ind w:firstLineChars="190" w:firstLine="570"/>
        <w:jc w:val="left"/>
        <w:rPr>
          <w:rFonts w:ascii="黑体" w:eastAsia="黑体"/>
          <w:sz w:val="30"/>
          <w:szCs w:val="30"/>
        </w:rPr>
      </w:pPr>
      <w:r>
        <w:rPr>
          <w:rFonts w:ascii="仿宋_GB2312" w:eastAsia="仿宋_GB2312" w:hAnsi="华文楷体" w:hint="eastAsia"/>
          <w:sz w:val="30"/>
          <w:szCs w:val="30"/>
        </w:rPr>
        <w:t>杨浦区投资服务工作室（怀德路600号二楼）</w:t>
      </w:r>
    </w:p>
    <w:p w:rsidR="00633C36" w:rsidRPr="000A1C6E" w:rsidRDefault="00874EF4" w:rsidP="007D133B">
      <w:pPr>
        <w:widowControl/>
        <w:spacing w:line="520" w:lineRule="exact"/>
        <w:ind w:firstLineChars="190" w:firstLine="570"/>
        <w:jc w:val="left"/>
        <w:rPr>
          <w:rFonts w:ascii="仿宋_GB2312" w:eastAsia="仿宋_GB2312" w:hAnsi="华文仿宋"/>
          <w:sz w:val="30"/>
          <w:szCs w:val="30"/>
        </w:rPr>
      </w:pPr>
      <w:r>
        <w:rPr>
          <w:rFonts w:ascii="仿宋_GB2312" w:eastAsia="仿宋_GB2312" w:hAnsi="华文仿宋" w:hint="eastAsia"/>
          <w:sz w:val="30"/>
          <w:szCs w:val="30"/>
        </w:rPr>
        <w:t>咨询</w:t>
      </w:r>
      <w:r w:rsidR="00633C36" w:rsidRPr="007D133B">
        <w:rPr>
          <w:rFonts w:ascii="仿宋_GB2312" w:eastAsia="仿宋_GB2312" w:hAnsi="华文仿宋" w:hint="eastAsia"/>
          <w:sz w:val="30"/>
          <w:szCs w:val="30"/>
        </w:rPr>
        <w:t>（投诉）电话：</w:t>
      </w:r>
      <w:r w:rsidR="00633C36" w:rsidRPr="007D133B">
        <w:rPr>
          <w:rFonts w:ascii="仿宋_GB2312" w:eastAsia="仿宋_GB2312" w:hAnsi="华文仿宋"/>
          <w:sz w:val="30"/>
          <w:szCs w:val="30"/>
        </w:rPr>
        <w:t>65191784</w:t>
      </w:r>
      <w:r w:rsidR="00633C36" w:rsidRPr="007D133B">
        <w:rPr>
          <w:rFonts w:ascii="仿宋_GB2312" w:eastAsia="仿宋_GB2312" w:hAnsi="华文仿宋" w:hint="eastAsia"/>
          <w:sz w:val="30"/>
          <w:szCs w:val="30"/>
        </w:rPr>
        <w:t>、</w:t>
      </w:r>
      <w:r w:rsidR="00633C36" w:rsidRPr="007D133B">
        <w:rPr>
          <w:rFonts w:ascii="仿宋_GB2312" w:eastAsia="仿宋_GB2312" w:hAnsi="华文仿宋"/>
          <w:sz w:val="30"/>
          <w:szCs w:val="30"/>
        </w:rPr>
        <w:t>55090775</w:t>
      </w:r>
    </w:p>
    <w:sectPr w:rsidR="00633C36" w:rsidRPr="000A1C6E" w:rsidSect="007B476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253" w:rsidRDefault="00330253">
      <w:r>
        <w:separator/>
      </w:r>
    </w:p>
  </w:endnote>
  <w:endnote w:type="continuationSeparator" w:id="1">
    <w:p w:rsidR="00330253" w:rsidRDefault="003302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F7" w:rsidRPr="00D6014F" w:rsidRDefault="000877F7" w:rsidP="00D6014F">
    <w:pPr>
      <w:pStyle w:val="a5"/>
      <w:jc w:val="center"/>
      <w:rPr>
        <w:rFonts w:ascii="Times New Roman" w:hAnsi="Times New Roman"/>
        <w:sz w:val="24"/>
        <w:szCs w:val="24"/>
      </w:rPr>
    </w:pPr>
    <w:r w:rsidRPr="00D6014F">
      <w:rPr>
        <w:rFonts w:ascii="Times New Roman" w:hAnsi="Times New Roman"/>
        <w:sz w:val="24"/>
        <w:szCs w:val="24"/>
      </w:rPr>
      <w:t xml:space="preserve">— </w:t>
    </w:r>
    <w:r w:rsidR="00E5412D" w:rsidRPr="00D6014F">
      <w:rPr>
        <w:rStyle w:val="a6"/>
        <w:rFonts w:ascii="Times New Roman" w:hAnsi="Times New Roman"/>
        <w:sz w:val="24"/>
        <w:szCs w:val="24"/>
      </w:rPr>
      <w:fldChar w:fldCharType="begin"/>
    </w:r>
    <w:r w:rsidRPr="00D6014F">
      <w:rPr>
        <w:rStyle w:val="a6"/>
        <w:rFonts w:ascii="Times New Roman" w:hAnsi="Times New Roman"/>
        <w:sz w:val="24"/>
        <w:szCs w:val="24"/>
      </w:rPr>
      <w:instrText xml:space="preserve"> PAGE </w:instrText>
    </w:r>
    <w:r w:rsidR="00E5412D" w:rsidRPr="00D6014F">
      <w:rPr>
        <w:rStyle w:val="a6"/>
        <w:rFonts w:ascii="Times New Roman" w:hAnsi="Times New Roman"/>
        <w:sz w:val="24"/>
        <w:szCs w:val="24"/>
      </w:rPr>
      <w:fldChar w:fldCharType="separate"/>
    </w:r>
    <w:r w:rsidR="004164DB">
      <w:rPr>
        <w:rStyle w:val="a6"/>
        <w:rFonts w:ascii="Times New Roman" w:hAnsi="Times New Roman"/>
        <w:noProof/>
        <w:sz w:val="24"/>
        <w:szCs w:val="24"/>
      </w:rPr>
      <w:t>1</w:t>
    </w:r>
    <w:r w:rsidR="00E5412D" w:rsidRPr="00D6014F">
      <w:rPr>
        <w:rStyle w:val="a6"/>
        <w:rFonts w:ascii="Times New Roman" w:hAnsi="Times New Roman"/>
        <w:sz w:val="24"/>
        <w:szCs w:val="24"/>
      </w:rPr>
      <w:fldChar w:fldCharType="end"/>
    </w:r>
    <w:r w:rsidRPr="00D6014F">
      <w:rPr>
        <w:rStyle w:val="a6"/>
        <w:rFonts w:ascii="Times New Roman" w:hAnsi="Times New Roman"/>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253" w:rsidRDefault="00330253">
      <w:r>
        <w:separator/>
      </w:r>
    </w:p>
  </w:footnote>
  <w:footnote w:type="continuationSeparator" w:id="1">
    <w:p w:rsidR="00330253" w:rsidRDefault="003302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EBE"/>
    <w:rsid w:val="00001E24"/>
    <w:rsid w:val="00007B05"/>
    <w:rsid w:val="000263CC"/>
    <w:rsid w:val="00027953"/>
    <w:rsid w:val="00055836"/>
    <w:rsid w:val="00081451"/>
    <w:rsid w:val="000877F7"/>
    <w:rsid w:val="00097306"/>
    <w:rsid w:val="000A1C6E"/>
    <w:rsid w:val="000B4EA2"/>
    <w:rsid w:val="000D3203"/>
    <w:rsid w:val="000E5D5D"/>
    <w:rsid w:val="000F1D97"/>
    <w:rsid w:val="00110DEC"/>
    <w:rsid w:val="001257C3"/>
    <w:rsid w:val="00137A61"/>
    <w:rsid w:val="00146322"/>
    <w:rsid w:val="001648A4"/>
    <w:rsid w:val="00164E39"/>
    <w:rsid w:val="00184634"/>
    <w:rsid w:val="0019330D"/>
    <w:rsid w:val="001B611B"/>
    <w:rsid w:val="001C3001"/>
    <w:rsid w:val="001E0243"/>
    <w:rsid w:val="001E1D3E"/>
    <w:rsid w:val="001E3E64"/>
    <w:rsid w:val="00201FE5"/>
    <w:rsid w:val="00205F02"/>
    <w:rsid w:val="00217971"/>
    <w:rsid w:val="00235D9E"/>
    <w:rsid w:val="00250A25"/>
    <w:rsid w:val="002531A9"/>
    <w:rsid w:val="002536A6"/>
    <w:rsid w:val="002568C5"/>
    <w:rsid w:val="002652CF"/>
    <w:rsid w:val="00283A03"/>
    <w:rsid w:val="00293410"/>
    <w:rsid w:val="002B097E"/>
    <w:rsid w:val="002B7BA3"/>
    <w:rsid w:val="002D3238"/>
    <w:rsid w:val="002E6ABA"/>
    <w:rsid w:val="002F2807"/>
    <w:rsid w:val="002F5521"/>
    <w:rsid w:val="00310D23"/>
    <w:rsid w:val="00310F1F"/>
    <w:rsid w:val="00320A8B"/>
    <w:rsid w:val="00330253"/>
    <w:rsid w:val="003318AA"/>
    <w:rsid w:val="00343077"/>
    <w:rsid w:val="00360317"/>
    <w:rsid w:val="00364ECA"/>
    <w:rsid w:val="00367FC2"/>
    <w:rsid w:val="00386F4C"/>
    <w:rsid w:val="003A7B5C"/>
    <w:rsid w:val="003B74C3"/>
    <w:rsid w:val="003E49FB"/>
    <w:rsid w:val="003F5315"/>
    <w:rsid w:val="00414FE5"/>
    <w:rsid w:val="004164DB"/>
    <w:rsid w:val="004228F0"/>
    <w:rsid w:val="00441737"/>
    <w:rsid w:val="004511BC"/>
    <w:rsid w:val="00452691"/>
    <w:rsid w:val="00460174"/>
    <w:rsid w:val="0046115D"/>
    <w:rsid w:val="004641AA"/>
    <w:rsid w:val="00467386"/>
    <w:rsid w:val="00490678"/>
    <w:rsid w:val="00497329"/>
    <w:rsid w:val="004A3254"/>
    <w:rsid w:val="004A681A"/>
    <w:rsid w:val="004B2891"/>
    <w:rsid w:val="004B2AB0"/>
    <w:rsid w:val="004C0E43"/>
    <w:rsid w:val="004F3197"/>
    <w:rsid w:val="004F5486"/>
    <w:rsid w:val="00565D58"/>
    <w:rsid w:val="005709E2"/>
    <w:rsid w:val="00581171"/>
    <w:rsid w:val="005829A2"/>
    <w:rsid w:val="005842CA"/>
    <w:rsid w:val="00590B6E"/>
    <w:rsid w:val="00591A02"/>
    <w:rsid w:val="00592BD6"/>
    <w:rsid w:val="00593988"/>
    <w:rsid w:val="005A7B9B"/>
    <w:rsid w:val="005B0353"/>
    <w:rsid w:val="005B3B3C"/>
    <w:rsid w:val="005B7C1C"/>
    <w:rsid w:val="005C1A72"/>
    <w:rsid w:val="005F2427"/>
    <w:rsid w:val="005F3FC7"/>
    <w:rsid w:val="006030E3"/>
    <w:rsid w:val="00630957"/>
    <w:rsid w:val="00633C36"/>
    <w:rsid w:val="006346DF"/>
    <w:rsid w:val="00660908"/>
    <w:rsid w:val="00672912"/>
    <w:rsid w:val="00675F16"/>
    <w:rsid w:val="0068104A"/>
    <w:rsid w:val="006867EF"/>
    <w:rsid w:val="006A3E07"/>
    <w:rsid w:val="006B18D2"/>
    <w:rsid w:val="006D6AF2"/>
    <w:rsid w:val="006F05D2"/>
    <w:rsid w:val="006F7DA1"/>
    <w:rsid w:val="0070627F"/>
    <w:rsid w:val="007100B0"/>
    <w:rsid w:val="00713FAB"/>
    <w:rsid w:val="007267D9"/>
    <w:rsid w:val="0076306E"/>
    <w:rsid w:val="0076381B"/>
    <w:rsid w:val="00771D12"/>
    <w:rsid w:val="007804A7"/>
    <w:rsid w:val="00781EB9"/>
    <w:rsid w:val="00794C70"/>
    <w:rsid w:val="00796D47"/>
    <w:rsid w:val="007B2E6D"/>
    <w:rsid w:val="007B476A"/>
    <w:rsid w:val="007B5383"/>
    <w:rsid w:val="007C48B3"/>
    <w:rsid w:val="007D133B"/>
    <w:rsid w:val="00802D81"/>
    <w:rsid w:val="008042D0"/>
    <w:rsid w:val="00813717"/>
    <w:rsid w:val="008201F6"/>
    <w:rsid w:val="00822364"/>
    <w:rsid w:val="008242D8"/>
    <w:rsid w:val="00857972"/>
    <w:rsid w:val="00874EF4"/>
    <w:rsid w:val="00880CF2"/>
    <w:rsid w:val="00883E47"/>
    <w:rsid w:val="008874C4"/>
    <w:rsid w:val="00887D74"/>
    <w:rsid w:val="00891651"/>
    <w:rsid w:val="00892F35"/>
    <w:rsid w:val="00894239"/>
    <w:rsid w:val="008A7E8A"/>
    <w:rsid w:val="008D2C00"/>
    <w:rsid w:val="008D57E5"/>
    <w:rsid w:val="008D6625"/>
    <w:rsid w:val="008D6BF6"/>
    <w:rsid w:val="008E0C79"/>
    <w:rsid w:val="009138F7"/>
    <w:rsid w:val="00920D3E"/>
    <w:rsid w:val="00927EBE"/>
    <w:rsid w:val="009320A6"/>
    <w:rsid w:val="00934551"/>
    <w:rsid w:val="009409F1"/>
    <w:rsid w:val="009457E9"/>
    <w:rsid w:val="009513A0"/>
    <w:rsid w:val="009533F9"/>
    <w:rsid w:val="009570A9"/>
    <w:rsid w:val="00971857"/>
    <w:rsid w:val="00976F11"/>
    <w:rsid w:val="00980AF6"/>
    <w:rsid w:val="00981E9B"/>
    <w:rsid w:val="00982BFB"/>
    <w:rsid w:val="00987B0E"/>
    <w:rsid w:val="00995A16"/>
    <w:rsid w:val="009A2AA2"/>
    <w:rsid w:val="009C4B26"/>
    <w:rsid w:val="009D14AE"/>
    <w:rsid w:val="009E0F74"/>
    <w:rsid w:val="009E3E22"/>
    <w:rsid w:val="009F0B2D"/>
    <w:rsid w:val="009F212C"/>
    <w:rsid w:val="00A16989"/>
    <w:rsid w:val="00A21439"/>
    <w:rsid w:val="00A37131"/>
    <w:rsid w:val="00A372BE"/>
    <w:rsid w:val="00A4108E"/>
    <w:rsid w:val="00A77787"/>
    <w:rsid w:val="00A77DE7"/>
    <w:rsid w:val="00A91448"/>
    <w:rsid w:val="00AA321E"/>
    <w:rsid w:val="00AA6615"/>
    <w:rsid w:val="00AB1A49"/>
    <w:rsid w:val="00AB3E13"/>
    <w:rsid w:val="00AB6B33"/>
    <w:rsid w:val="00AC1453"/>
    <w:rsid w:val="00AD04D0"/>
    <w:rsid w:val="00AD2652"/>
    <w:rsid w:val="00AD6B6B"/>
    <w:rsid w:val="00AE07B9"/>
    <w:rsid w:val="00AE5F5E"/>
    <w:rsid w:val="00B05474"/>
    <w:rsid w:val="00B31228"/>
    <w:rsid w:val="00B43B8E"/>
    <w:rsid w:val="00B677DF"/>
    <w:rsid w:val="00B71C98"/>
    <w:rsid w:val="00B743AA"/>
    <w:rsid w:val="00B81564"/>
    <w:rsid w:val="00B839DD"/>
    <w:rsid w:val="00B90257"/>
    <w:rsid w:val="00BA46D7"/>
    <w:rsid w:val="00BB7BC4"/>
    <w:rsid w:val="00BC0A80"/>
    <w:rsid w:val="00BC29E7"/>
    <w:rsid w:val="00C0794C"/>
    <w:rsid w:val="00C206AB"/>
    <w:rsid w:val="00C32F98"/>
    <w:rsid w:val="00C46021"/>
    <w:rsid w:val="00C83A42"/>
    <w:rsid w:val="00CA71B9"/>
    <w:rsid w:val="00CB2364"/>
    <w:rsid w:val="00CC1A51"/>
    <w:rsid w:val="00CC2F14"/>
    <w:rsid w:val="00D02C13"/>
    <w:rsid w:val="00D07C7C"/>
    <w:rsid w:val="00D162AB"/>
    <w:rsid w:val="00D16FFD"/>
    <w:rsid w:val="00D226A9"/>
    <w:rsid w:val="00D41899"/>
    <w:rsid w:val="00D45494"/>
    <w:rsid w:val="00D6014F"/>
    <w:rsid w:val="00D61FBE"/>
    <w:rsid w:val="00D638EB"/>
    <w:rsid w:val="00DC46B0"/>
    <w:rsid w:val="00DC6DE7"/>
    <w:rsid w:val="00DD7B54"/>
    <w:rsid w:val="00DE46D8"/>
    <w:rsid w:val="00DE790B"/>
    <w:rsid w:val="00E21328"/>
    <w:rsid w:val="00E4671E"/>
    <w:rsid w:val="00E47137"/>
    <w:rsid w:val="00E5412D"/>
    <w:rsid w:val="00E56832"/>
    <w:rsid w:val="00E5792B"/>
    <w:rsid w:val="00E73FB5"/>
    <w:rsid w:val="00E74376"/>
    <w:rsid w:val="00E75103"/>
    <w:rsid w:val="00E90C82"/>
    <w:rsid w:val="00E919B4"/>
    <w:rsid w:val="00E964DE"/>
    <w:rsid w:val="00EA74B2"/>
    <w:rsid w:val="00EB2737"/>
    <w:rsid w:val="00EB3AAF"/>
    <w:rsid w:val="00EB57FB"/>
    <w:rsid w:val="00EC3B18"/>
    <w:rsid w:val="00EE5A47"/>
    <w:rsid w:val="00EF55EE"/>
    <w:rsid w:val="00F02C8E"/>
    <w:rsid w:val="00F040F6"/>
    <w:rsid w:val="00F04107"/>
    <w:rsid w:val="00F06095"/>
    <w:rsid w:val="00F21685"/>
    <w:rsid w:val="00F36E02"/>
    <w:rsid w:val="00F40969"/>
    <w:rsid w:val="00F544C6"/>
    <w:rsid w:val="00F635B2"/>
    <w:rsid w:val="00F6428C"/>
    <w:rsid w:val="00F70F4F"/>
    <w:rsid w:val="00F82C6A"/>
    <w:rsid w:val="00F82D68"/>
    <w:rsid w:val="00F92190"/>
    <w:rsid w:val="00FB0B18"/>
    <w:rsid w:val="00FD7ED9"/>
    <w:rsid w:val="00FE3A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7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A2143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D601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5C1A72"/>
    <w:rPr>
      <w:rFonts w:cs="Times New Roman"/>
      <w:sz w:val="18"/>
      <w:szCs w:val="18"/>
    </w:rPr>
  </w:style>
  <w:style w:type="paragraph" w:styleId="a5">
    <w:name w:val="footer"/>
    <w:basedOn w:val="a"/>
    <w:link w:val="Char0"/>
    <w:uiPriority w:val="99"/>
    <w:rsid w:val="00D6014F"/>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5C1A72"/>
    <w:rPr>
      <w:rFonts w:cs="Times New Roman"/>
      <w:sz w:val="18"/>
      <w:szCs w:val="18"/>
    </w:rPr>
  </w:style>
  <w:style w:type="character" w:styleId="a6">
    <w:name w:val="page number"/>
    <w:basedOn w:val="a0"/>
    <w:uiPriority w:val="99"/>
    <w:rsid w:val="00D6014F"/>
    <w:rPr>
      <w:rFonts w:cs="Times New Roman"/>
    </w:rPr>
  </w:style>
</w:styles>
</file>

<file path=word/webSettings.xml><?xml version="1.0" encoding="utf-8"?>
<w:webSettings xmlns:r="http://schemas.openxmlformats.org/officeDocument/2006/relationships" xmlns:w="http://schemas.openxmlformats.org/wordprocessingml/2006/main">
  <w:divs>
    <w:div w:id="1204100342">
      <w:marLeft w:val="0"/>
      <w:marRight w:val="0"/>
      <w:marTop w:val="0"/>
      <w:marBottom w:val="0"/>
      <w:divBdr>
        <w:top w:val="none" w:sz="0" w:space="0" w:color="auto"/>
        <w:left w:val="none" w:sz="0" w:space="0" w:color="auto"/>
        <w:bottom w:val="none" w:sz="0" w:space="0" w:color="auto"/>
        <w:right w:val="none" w:sz="0" w:space="0" w:color="auto"/>
      </w:divBdr>
    </w:div>
    <w:div w:id="1204100343">
      <w:marLeft w:val="0"/>
      <w:marRight w:val="0"/>
      <w:marTop w:val="0"/>
      <w:marBottom w:val="0"/>
      <w:divBdr>
        <w:top w:val="none" w:sz="0" w:space="0" w:color="auto"/>
        <w:left w:val="none" w:sz="0" w:space="0" w:color="auto"/>
        <w:bottom w:val="none" w:sz="0" w:space="0" w:color="auto"/>
        <w:right w:val="none" w:sz="0" w:space="0" w:color="auto"/>
      </w:divBdr>
    </w:div>
    <w:div w:id="1204100344">
      <w:marLeft w:val="0"/>
      <w:marRight w:val="0"/>
      <w:marTop w:val="0"/>
      <w:marBottom w:val="0"/>
      <w:divBdr>
        <w:top w:val="none" w:sz="0" w:space="0" w:color="auto"/>
        <w:left w:val="none" w:sz="0" w:space="0" w:color="auto"/>
        <w:bottom w:val="none" w:sz="0" w:space="0" w:color="auto"/>
        <w:right w:val="none" w:sz="0" w:space="0" w:color="auto"/>
      </w:divBdr>
    </w:div>
    <w:div w:id="1204100345">
      <w:marLeft w:val="0"/>
      <w:marRight w:val="0"/>
      <w:marTop w:val="0"/>
      <w:marBottom w:val="0"/>
      <w:divBdr>
        <w:top w:val="none" w:sz="0" w:space="0" w:color="auto"/>
        <w:left w:val="none" w:sz="0" w:space="0" w:color="auto"/>
        <w:bottom w:val="none" w:sz="0" w:space="0" w:color="auto"/>
        <w:right w:val="none" w:sz="0" w:space="0" w:color="auto"/>
      </w:divBdr>
    </w:div>
    <w:div w:id="1204100346">
      <w:marLeft w:val="0"/>
      <w:marRight w:val="0"/>
      <w:marTop w:val="0"/>
      <w:marBottom w:val="0"/>
      <w:divBdr>
        <w:top w:val="none" w:sz="0" w:space="0" w:color="auto"/>
        <w:left w:val="none" w:sz="0" w:space="0" w:color="auto"/>
        <w:bottom w:val="none" w:sz="0" w:space="0" w:color="auto"/>
        <w:right w:val="none" w:sz="0" w:space="0" w:color="auto"/>
      </w:divBdr>
    </w:div>
    <w:div w:id="1204100347">
      <w:marLeft w:val="0"/>
      <w:marRight w:val="0"/>
      <w:marTop w:val="0"/>
      <w:marBottom w:val="0"/>
      <w:divBdr>
        <w:top w:val="none" w:sz="0" w:space="0" w:color="auto"/>
        <w:left w:val="none" w:sz="0" w:space="0" w:color="auto"/>
        <w:bottom w:val="none" w:sz="0" w:space="0" w:color="auto"/>
        <w:right w:val="none" w:sz="0" w:space="0" w:color="auto"/>
      </w:divBdr>
    </w:div>
    <w:div w:id="1204100348">
      <w:marLeft w:val="0"/>
      <w:marRight w:val="0"/>
      <w:marTop w:val="0"/>
      <w:marBottom w:val="0"/>
      <w:divBdr>
        <w:top w:val="none" w:sz="0" w:space="0" w:color="auto"/>
        <w:left w:val="none" w:sz="0" w:space="0" w:color="auto"/>
        <w:bottom w:val="none" w:sz="0" w:space="0" w:color="auto"/>
        <w:right w:val="none" w:sz="0" w:space="0" w:color="auto"/>
      </w:divBdr>
    </w:div>
    <w:div w:id="1204100349">
      <w:marLeft w:val="0"/>
      <w:marRight w:val="0"/>
      <w:marTop w:val="0"/>
      <w:marBottom w:val="0"/>
      <w:divBdr>
        <w:top w:val="none" w:sz="0" w:space="0" w:color="auto"/>
        <w:left w:val="none" w:sz="0" w:space="0" w:color="auto"/>
        <w:bottom w:val="none" w:sz="0" w:space="0" w:color="auto"/>
        <w:right w:val="none" w:sz="0" w:space="0" w:color="auto"/>
      </w:divBdr>
    </w:div>
    <w:div w:id="1204100350">
      <w:marLeft w:val="0"/>
      <w:marRight w:val="0"/>
      <w:marTop w:val="0"/>
      <w:marBottom w:val="0"/>
      <w:divBdr>
        <w:top w:val="none" w:sz="0" w:space="0" w:color="auto"/>
        <w:left w:val="none" w:sz="0" w:space="0" w:color="auto"/>
        <w:bottom w:val="none" w:sz="0" w:space="0" w:color="auto"/>
        <w:right w:val="none" w:sz="0" w:space="0" w:color="auto"/>
      </w:divBdr>
    </w:div>
    <w:div w:id="1204100351">
      <w:marLeft w:val="0"/>
      <w:marRight w:val="0"/>
      <w:marTop w:val="0"/>
      <w:marBottom w:val="0"/>
      <w:divBdr>
        <w:top w:val="none" w:sz="0" w:space="0" w:color="auto"/>
        <w:left w:val="none" w:sz="0" w:space="0" w:color="auto"/>
        <w:bottom w:val="none" w:sz="0" w:space="0" w:color="auto"/>
        <w:right w:val="none" w:sz="0" w:space="0" w:color="auto"/>
      </w:divBdr>
    </w:div>
    <w:div w:id="1204100352">
      <w:marLeft w:val="0"/>
      <w:marRight w:val="0"/>
      <w:marTop w:val="0"/>
      <w:marBottom w:val="0"/>
      <w:divBdr>
        <w:top w:val="none" w:sz="0" w:space="0" w:color="auto"/>
        <w:left w:val="none" w:sz="0" w:space="0" w:color="auto"/>
        <w:bottom w:val="none" w:sz="0" w:space="0" w:color="auto"/>
        <w:right w:val="none" w:sz="0" w:space="0" w:color="auto"/>
      </w:divBdr>
    </w:div>
    <w:div w:id="1204100353">
      <w:marLeft w:val="0"/>
      <w:marRight w:val="0"/>
      <w:marTop w:val="0"/>
      <w:marBottom w:val="0"/>
      <w:divBdr>
        <w:top w:val="none" w:sz="0" w:space="0" w:color="auto"/>
        <w:left w:val="none" w:sz="0" w:space="0" w:color="auto"/>
        <w:bottom w:val="none" w:sz="0" w:space="0" w:color="auto"/>
        <w:right w:val="none" w:sz="0" w:space="0" w:color="auto"/>
      </w:divBdr>
    </w:div>
    <w:div w:id="1204100354">
      <w:marLeft w:val="0"/>
      <w:marRight w:val="0"/>
      <w:marTop w:val="0"/>
      <w:marBottom w:val="0"/>
      <w:divBdr>
        <w:top w:val="none" w:sz="0" w:space="0" w:color="auto"/>
        <w:left w:val="none" w:sz="0" w:space="0" w:color="auto"/>
        <w:bottom w:val="none" w:sz="0" w:space="0" w:color="auto"/>
        <w:right w:val="none" w:sz="0" w:space="0" w:color="auto"/>
      </w:divBdr>
    </w:div>
    <w:div w:id="1204100355">
      <w:marLeft w:val="0"/>
      <w:marRight w:val="0"/>
      <w:marTop w:val="0"/>
      <w:marBottom w:val="0"/>
      <w:divBdr>
        <w:top w:val="none" w:sz="0" w:space="0" w:color="auto"/>
        <w:left w:val="none" w:sz="0" w:space="0" w:color="auto"/>
        <w:bottom w:val="none" w:sz="0" w:space="0" w:color="auto"/>
        <w:right w:val="none" w:sz="0" w:space="0" w:color="auto"/>
      </w:divBdr>
    </w:div>
    <w:div w:id="1204100356">
      <w:marLeft w:val="0"/>
      <w:marRight w:val="0"/>
      <w:marTop w:val="0"/>
      <w:marBottom w:val="0"/>
      <w:divBdr>
        <w:top w:val="none" w:sz="0" w:space="0" w:color="auto"/>
        <w:left w:val="none" w:sz="0" w:space="0" w:color="auto"/>
        <w:bottom w:val="none" w:sz="0" w:space="0" w:color="auto"/>
        <w:right w:val="none" w:sz="0" w:space="0" w:color="auto"/>
      </w:divBdr>
    </w:div>
    <w:div w:id="1204100357">
      <w:marLeft w:val="0"/>
      <w:marRight w:val="0"/>
      <w:marTop w:val="0"/>
      <w:marBottom w:val="0"/>
      <w:divBdr>
        <w:top w:val="none" w:sz="0" w:space="0" w:color="auto"/>
        <w:left w:val="none" w:sz="0" w:space="0" w:color="auto"/>
        <w:bottom w:val="none" w:sz="0" w:space="0" w:color="auto"/>
        <w:right w:val="none" w:sz="0" w:space="0" w:color="auto"/>
      </w:divBdr>
    </w:div>
    <w:div w:id="1204100358">
      <w:marLeft w:val="0"/>
      <w:marRight w:val="0"/>
      <w:marTop w:val="0"/>
      <w:marBottom w:val="0"/>
      <w:divBdr>
        <w:top w:val="none" w:sz="0" w:space="0" w:color="auto"/>
        <w:left w:val="none" w:sz="0" w:space="0" w:color="auto"/>
        <w:bottom w:val="none" w:sz="0" w:space="0" w:color="auto"/>
        <w:right w:val="none" w:sz="0" w:space="0" w:color="auto"/>
      </w:divBdr>
    </w:div>
    <w:div w:id="1204100359">
      <w:marLeft w:val="0"/>
      <w:marRight w:val="0"/>
      <w:marTop w:val="0"/>
      <w:marBottom w:val="0"/>
      <w:divBdr>
        <w:top w:val="none" w:sz="0" w:space="0" w:color="auto"/>
        <w:left w:val="none" w:sz="0" w:space="0" w:color="auto"/>
        <w:bottom w:val="none" w:sz="0" w:space="0" w:color="auto"/>
        <w:right w:val="none" w:sz="0" w:space="0" w:color="auto"/>
      </w:divBdr>
    </w:div>
    <w:div w:id="1204100360">
      <w:marLeft w:val="0"/>
      <w:marRight w:val="0"/>
      <w:marTop w:val="0"/>
      <w:marBottom w:val="0"/>
      <w:divBdr>
        <w:top w:val="none" w:sz="0" w:space="0" w:color="auto"/>
        <w:left w:val="none" w:sz="0" w:space="0" w:color="auto"/>
        <w:bottom w:val="none" w:sz="0" w:space="0" w:color="auto"/>
        <w:right w:val="none" w:sz="0" w:space="0" w:color="auto"/>
      </w:divBdr>
    </w:div>
    <w:div w:id="1204100361">
      <w:marLeft w:val="0"/>
      <w:marRight w:val="0"/>
      <w:marTop w:val="0"/>
      <w:marBottom w:val="0"/>
      <w:divBdr>
        <w:top w:val="none" w:sz="0" w:space="0" w:color="auto"/>
        <w:left w:val="none" w:sz="0" w:space="0" w:color="auto"/>
        <w:bottom w:val="none" w:sz="0" w:space="0" w:color="auto"/>
        <w:right w:val="none" w:sz="0" w:space="0" w:color="auto"/>
      </w:divBdr>
    </w:div>
    <w:div w:id="1204100362">
      <w:marLeft w:val="0"/>
      <w:marRight w:val="0"/>
      <w:marTop w:val="0"/>
      <w:marBottom w:val="0"/>
      <w:divBdr>
        <w:top w:val="none" w:sz="0" w:space="0" w:color="auto"/>
        <w:left w:val="none" w:sz="0" w:space="0" w:color="auto"/>
        <w:bottom w:val="none" w:sz="0" w:space="0" w:color="auto"/>
        <w:right w:val="none" w:sz="0" w:space="0" w:color="auto"/>
      </w:divBdr>
    </w:div>
    <w:div w:id="1204100363">
      <w:marLeft w:val="0"/>
      <w:marRight w:val="0"/>
      <w:marTop w:val="0"/>
      <w:marBottom w:val="0"/>
      <w:divBdr>
        <w:top w:val="none" w:sz="0" w:space="0" w:color="auto"/>
        <w:left w:val="none" w:sz="0" w:space="0" w:color="auto"/>
        <w:bottom w:val="none" w:sz="0" w:space="0" w:color="auto"/>
        <w:right w:val="none" w:sz="0" w:space="0" w:color="auto"/>
      </w:divBdr>
    </w:div>
    <w:div w:id="1204100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ECD69-E00B-4951-8063-797A2839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137</Words>
  <Characters>783</Characters>
  <Application>Microsoft Office Word</Application>
  <DocSecurity>0</DocSecurity>
  <Lines>6</Lines>
  <Paragraphs>1</Paragraphs>
  <ScaleCrop>false</ScaleCrop>
  <Company>Sky123.Org</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杨浦区政府购买</dc:title>
  <dc:creator>Sky123.Org</dc:creator>
  <cp:lastModifiedBy>Administrator</cp:lastModifiedBy>
  <cp:revision>12</cp:revision>
  <dcterms:created xsi:type="dcterms:W3CDTF">2017-11-15T02:08:00Z</dcterms:created>
  <dcterms:modified xsi:type="dcterms:W3CDTF">2017-11-21T06:25:00Z</dcterms:modified>
</cp:coreProperties>
</file>